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color w:val="000000"/>
          <w:sz w:val="32"/>
          <w:szCs w:val="32"/>
        </w:rPr>
      </w:pPr>
      <w:r>
        <w:rPr>
          <w:rFonts w:hint="eastAsia" w:ascii="方正小标宋_GBK" w:hAnsi="宋体" w:eastAsia="方正小标宋_GBK"/>
          <w:color w:val="000000"/>
          <w:sz w:val="32"/>
          <w:szCs w:val="32"/>
        </w:rPr>
        <w:t>团体标准《地理标志农产品广西六堡茶</w:t>
      </w:r>
      <w:r>
        <w:rPr>
          <w:rFonts w:hint="eastAsia" w:ascii="方正小标宋_GBK" w:hAnsi="宋体" w:eastAsia="方正小标宋_GBK"/>
          <w:color w:val="000000"/>
          <w:sz w:val="32"/>
          <w:szCs w:val="32"/>
          <w:lang w:eastAsia="zh-CN"/>
        </w:rPr>
        <w:t>栽培</w:t>
      </w:r>
      <w:r>
        <w:rPr>
          <w:rFonts w:hint="eastAsia" w:ascii="方正小标宋_GBK" w:hAnsi="宋体" w:eastAsia="方正小标宋_GBK"/>
          <w:color w:val="000000"/>
          <w:sz w:val="32"/>
          <w:szCs w:val="32"/>
        </w:rPr>
        <w:t>技术规程》</w:t>
      </w:r>
    </w:p>
    <w:p>
      <w:pPr>
        <w:jc w:val="center"/>
        <w:rPr>
          <w:rFonts w:ascii="方正小标宋_GBK" w:hAnsi="宋体" w:eastAsia="方正小标宋_GBK"/>
          <w:color w:val="000000"/>
          <w:sz w:val="32"/>
          <w:szCs w:val="32"/>
        </w:rPr>
      </w:pPr>
      <w:r>
        <w:rPr>
          <w:rFonts w:hint="eastAsia" w:ascii="方正小标宋_GBK" w:hAnsi="宋体" w:eastAsia="方正小标宋_GBK"/>
          <w:color w:val="000000"/>
          <w:sz w:val="32"/>
          <w:szCs w:val="32"/>
        </w:rPr>
        <w:t>（征求意见稿）编制说明</w:t>
      </w:r>
    </w:p>
    <w:p>
      <w:pPr>
        <w:autoSpaceDE w:val="0"/>
        <w:autoSpaceDN w:val="0"/>
        <w:adjustRightInd w:val="0"/>
        <w:spacing w:before="156" w:beforeLines="50" w:after="156" w:afterLines="50" w:line="52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一、项目来源</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根据《关于下达2021年第二十五批团体标准制修订项目计划的通知》（桂标协〔2021〕62号）文件精神，由</w:t>
      </w:r>
      <w:r>
        <w:rPr>
          <w:rFonts w:ascii="仿宋_GB2312" w:hAnsi="宋体" w:eastAsia="仿宋_GB2312"/>
          <w:sz w:val="28"/>
          <w:szCs w:val="28"/>
        </w:rPr>
        <w:t>广西茶业</w:t>
      </w:r>
      <w:r>
        <w:rPr>
          <w:rFonts w:hint="eastAsia" w:ascii="仿宋_GB2312" w:hAnsi="宋体" w:eastAsia="仿宋_GB2312"/>
          <w:sz w:val="28"/>
          <w:szCs w:val="28"/>
        </w:rPr>
        <w:t>协会、广西茶叶科学研究所、广西茶叶学会、广西茶叶流通协会、广西标准化协会共同提出并起草制定团体标准《地理标志农产品广西六堡茶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技术规程》（项目编号：2021-250</w:t>
      </w:r>
      <w:r>
        <w:rPr>
          <w:rFonts w:hint="eastAsia" w:ascii="仿宋_GB2312" w:hAnsi="宋体" w:eastAsia="仿宋_GB2312"/>
          <w:sz w:val="28"/>
          <w:szCs w:val="28"/>
          <w:lang w:val="en-US" w:eastAsia="zh-CN"/>
        </w:rPr>
        <w:t>1</w:t>
      </w:r>
      <w:r>
        <w:rPr>
          <w:rFonts w:hint="eastAsia" w:ascii="仿宋_GB2312" w:hAnsi="宋体" w:eastAsia="仿宋_GB2312"/>
          <w:sz w:val="28"/>
          <w:szCs w:val="28"/>
        </w:rPr>
        <w:t>）。</w:t>
      </w:r>
    </w:p>
    <w:p>
      <w:pPr>
        <w:autoSpaceDE w:val="0"/>
        <w:autoSpaceDN w:val="0"/>
        <w:adjustRightInd w:val="0"/>
        <w:spacing w:before="156" w:beforeLines="50" w:after="156" w:afterLines="50" w:line="52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二、项目背景及目的意义</w:t>
      </w:r>
    </w:p>
    <w:p>
      <w:pPr>
        <w:autoSpaceDE w:val="0"/>
        <w:autoSpaceDN w:val="0"/>
        <w:adjustRightInd w:val="0"/>
        <w:ind w:firstLine="560" w:firstLineChars="200"/>
        <w:jc w:val="left"/>
        <w:rPr>
          <w:rFonts w:ascii="仿宋_GB2312" w:hAnsi="宋体" w:eastAsia="仿宋_GB2312"/>
          <w:sz w:val="28"/>
          <w:szCs w:val="28"/>
        </w:rPr>
      </w:pPr>
      <w:r>
        <w:rPr>
          <w:rFonts w:hint="eastAsia" w:ascii="仿宋_GB2312" w:hAnsi="宋体" w:eastAsia="仿宋_GB2312"/>
          <w:sz w:val="28"/>
          <w:szCs w:val="28"/>
        </w:rPr>
        <w:t>广西六堡茶是我国著名黑茶之一，选用苍梧县群体种、广西大中叶种及其分离、选育的品种、品系茶树的鲜叶为原料，按特定的工艺进行</w:t>
      </w:r>
      <w:r>
        <w:rPr>
          <w:rFonts w:hint="eastAsia" w:ascii="仿宋_GB2312" w:hAnsi="宋体" w:eastAsia="仿宋_GB2312"/>
          <w:sz w:val="28"/>
          <w:szCs w:val="28"/>
          <w:lang w:eastAsia="zh-CN"/>
        </w:rPr>
        <w:t>栽培</w:t>
      </w:r>
      <w:r>
        <w:rPr>
          <w:rFonts w:hint="eastAsia" w:ascii="仿宋_GB2312" w:hAnsi="宋体" w:eastAsia="仿宋_GB2312"/>
          <w:sz w:val="28"/>
          <w:szCs w:val="28"/>
        </w:rPr>
        <w:t>，具有独特品质特征的黑茶。喝过六堡茶的人都会对它的"中国红"情有独钟，六堡茶业界认为，必须以"中国红"的文化韵味和民族特色为准则，使六堡茶走上复兴之路。党的十八大以来，广西深入学习贯彻习近平总书记关于茶产业发展的重要论述，坚持规划引领、品牌塑造、文化带动、产业驱动，强龙头、补链条、聚集群，积极打造六堡茶全产业链体系，全力发展现代茶产业，推动六堡茶由销路单一的“侨销茶”发展成为“畅销茶”，呈现产销两旺、量价齐升、高速发展的良好势头。</w:t>
      </w:r>
    </w:p>
    <w:p>
      <w:pPr>
        <w:autoSpaceDE w:val="0"/>
        <w:autoSpaceDN w:val="0"/>
        <w:adjustRightInd w:val="0"/>
        <w:ind w:firstLine="560" w:firstLineChars="200"/>
        <w:jc w:val="left"/>
        <w:rPr>
          <w:rFonts w:ascii="仿宋_GB2312" w:hAnsi="宋体" w:eastAsia="仿宋_GB2312"/>
          <w:sz w:val="28"/>
          <w:szCs w:val="28"/>
        </w:rPr>
      </w:pPr>
      <w:r>
        <w:rPr>
          <w:rFonts w:hint="eastAsia" w:ascii="仿宋_GB2312" w:hAnsi="宋体" w:eastAsia="仿宋_GB2312"/>
          <w:sz w:val="28"/>
          <w:szCs w:val="28"/>
        </w:rPr>
        <w:t>六堡茶属于黑茶类，作为历史悠久的广西名茶，因原产于广西苍梧县六堡镇而得名，以“红、浓、陈、醇”为显著的品质特色。发展至今，其产业已成为一二三产业有机融合的广西特色优势农业产业，促进广西六堡茶产业的高质量发展是推动广西乡村振兴与产业扶贫政策的重要把手。近年来，六堡茶产业发展迅速，其种植面积与品牌价值不断攀升。首先，与梧州市2008年的数据进行比较分析，2020年，梧州市茶园面积达到7 333.3</w:t>
      </w:r>
      <w:r>
        <w:rPr>
          <w:rFonts w:hint="eastAsia" w:ascii="仿宋_GB2312" w:hAnsi="宋体" w:eastAsia="仿宋_GB2312"/>
          <w:sz w:val="28"/>
          <w:szCs w:val="28"/>
          <w:vertAlign w:val="superscript"/>
        </w:rPr>
        <w:t xml:space="preserve"> </w:t>
      </w:r>
      <w:r>
        <w:rPr>
          <w:rFonts w:hint="eastAsia" w:ascii="仿宋_GB2312" w:hAnsi="宋体" w:eastAsia="仿宋_GB2312"/>
          <w:sz w:val="28"/>
          <w:szCs w:val="28"/>
        </w:rPr>
        <w:t>km</w:t>
      </w:r>
      <w:r>
        <w:rPr>
          <w:rFonts w:hint="eastAsia" w:ascii="仿宋_GB2312" w:hAnsi="宋体" w:eastAsia="仿宋_GB2312"/>
          <w:sz w:val="28"/>
          <w:szCs w:val="28"/>
          <w:vertAlign w:val="superscript"/>
        </w:rPr>
        <w:t>2</w:t>
      </w:r>
      <w:r>
        <w:rPr>
          <w:rFonts w:hint="eastAsia" w:ascii="仿宋_GB2312" w:hAnsi="宋体" w:eastAsia="仿宋_GB2312"/>
          <w:sz w:val="28"/>
          <w:szCs w:val="28"/>
        </w:rPr>
        <w:t>，12年间增长5 020</w:t>
      </w:r>
      <w:r>
        <w:rPr>
          <w:rFonts w:hint="eastAsia" w:ascii="仿宋_GB2312" w:hAnsi="宋体" w:eastAsia="仿宋_GB2312"/>
          <w:sz w:val="28"/>
          <w:szCs w:val="28"/>
          <w:vertAlign w:val="superscript"/>
        </w:rPr>
        <w:t xml:space="preserve"> </w:t>
      </w:r>
      <w:r>
        <w:rPr>
          <w:rFonts w:hint="eastAsia" w:ascii="仿宋_GB2312" w:hAnsi="宋体" w:eastAsia="仿宋_GB2312"/>
          <w:sz w:val="28"/>
          <w:szCs w:val="28"/>
        </w:rPr>
        <w:t>km</w:t>
      </w:r>
      <w:r>
        <w:rPr>
          <w:rFonts w:hint="eastAsia" w:ascii="仿宋_GB2312" w:hAnsi="宋体" w:eastAsia="仿宋_GB2312"/>
          <w:sz w:val="28"/>
          <w:szCs w:val="28"/>
          <w:vertAlign w:val="superscript"/>
        </w:rPr>
        <w:t>2</w:t>
      </w:r>
      <w:r>
        <w:rPr>
          <w:rFonts w:hint="eastAsia" w:ascii="仿宋_GB2312" w:hAnsi="宋体" w:eastAsia="仿宋_GB2312"/>
          <w:sz w:val="28"/>
          <w:szCs w:val="28"/>
        </w:rPr>
        <w:t>，种植面积是以往的3.17倍。梧州市茶叶产量也达到2万吨，相较于2008年的0.66万吨，产量也达到了以往的3倍。据统计，2019年，全区六堡茶适制茶园面积92.2万亩，产量2万多吨，综合产值达80亿元。产品销往全国近30个省区市，深受消费者青睐，品牌价值不断攀升。《2020年中国茶叶区域公用品牌价值评估报告》显示，2020年，六堡茶直接产值为32亿元，综合产值为85亿元，税收额为3 926万元，公共品牌价值总计26.4亿元，居全国茶叶区域公用品牌价值排名第28位，居广西茶叶第一位。其次，销售渠道逐步拓宽，市场占有率提升。作为传统侨销茶，除销往马来西亚和印度尼西亚外，六堡茶在俄罗斯、加拿大等国家也获得了良好的消费基础，并开辟了非洲市场。从2021年1月1日起，六堡茶彻底解决了单独税则号列的问题，大大减少了出口关税。此外，在六堡镇推行的“公司+合作社+农户”的质量服务模式，现已覆盖六堡镇的28个贫困村，带动了当地1 482户贫困茶农发展。由于种植和</w:t>
      </w:r>
      <w:r>
        <w:rPr>
          <w:rFonts w:hint="eastAsia" w:ascii="仿宋_GB2312" w:hAnsi="宋体" w:eastAsia="仿宋_GB2312"/>
          <w:sz w:val="28"/>
          <w:szCs w:val="28"/>
          <w:lang w:eastAsia="zh-CN"/>
        </w:rPr>
        <w:t>栽培</w:t>
      </w:r>
      <w:r>
        <w:rPr>
          <w:rFonts w:hint="eastAsia" w:ascii="仿宋_GB2312" w:hAnsi="宋体" w:eastAsia="仿宋_GB2312"/>
          <w:sz w:val="28"/>
          <w:szCs w:val="28"/>
        </w:rPr>
        <w:t>属劳动密集型，尤其种植适宜区域多集中在边远高山地区，六堡茶成为脱贫攻坚工作中重要产业。广西六堡茶10大茶叶生产大县有7个是贫困县，26个产茶县有14个是贫困县，六堡茶直接带动3万多贫困户每年人均增收1000元以上。</w:t>
      </w:r>
    </w:p>
    <w:p>
      <w:pPr>
        <w:autoSpaceDE w:val="0"/>
        <w:autoSpaceDN w:val="0"/>
        <w:adjustRightInd w:val="0"/>
        <w:ind w:firstLine="560" w:firstLineChars="200"/>
        <w:jc w:val="left"/>
        <w:rPr>
          <w:rFonts w:ascii="仿宋_GB2312" w:hAnsi="宋体" w:eastAsia="仿宋_GB2312"/>
          <w:sz w:val="28"/>
          <w:szCs w:val="28"/>
        </w:rPr>
      </w:pPr>
      <w:r>
        <w:rPr>
          <w:rFonts w:hint="eastAsia" w:ascii="仿宋_GB2312" w:hAnsi="宋体" w:eastAsia="仿宋_GB2312"/>
          <w:sz w:val="28"/>
          <w:szCs w:val="28"/>
        </w:rPr>
        <w:t>在2019年《广西壮族自治区人民政府办公厅关于促进广西茶产业高质量发展的若干意见》中提出了广西六堡茶“公共大品牌+核心区域品牌+企业产品品牌”的培育计划，要求推动“广西六堡茶”农产品地理标志登记保护工作，并批复授权广西茶业协会申请“广西六堡茶”农产品地理标志登记。2020年8月10日，“广西六堡茶”农产品地理标志登记保护。广西六堡茶农产品地理标志保护地域范围：包括广西壮族自治区所辖南宁市江南区、邕宁区、武鸣区、横县、上林县；柳州市柳城县、鹿寨县、融安县、融水苗族自治县、三江侗族自治县；桂林市七星区、临桂区、荔浦市、阳朔县、全州县、龙胜各族自治县、恭城瑶族自治县；梧州市长洲区、万秀区、龙圩区、岑溪市、苍梧县、藤县；钦州市灵山县、浦北县；贵港市港北区、港南区、覃塘区、桂平市、平南县；玉林市容县、博白县、兴业县；百色市右江区、平果市、凌云县、乐业县、田林县、西林县、隆林各族自治县；贺州市八步区、平桂区、昭平县；河池市南丹县；来宾市武宣县、金秀瑶族自治县；崇左市扶绥县、龙州县等12个地级市的48个县（市、区）共计539个镇（乡、街道）；核心产区为梧州市。地理坐标位于东经104°28′～112°04′，北纬21°38′～26°24′之间。保护规模100</w:t>
      </w:r>
      <w:r>
        <w:rPr>
          <w:rFonts w:hint="eastAsia" w:ascii="仿宋_GB2312" w:hAnsi="宋体" w:eastAsia="仿宋_GB2312"/>
          <w:sz w:val="28"/>
          <w:szCs w:val="28"/>
          <w:vertAlign w:val="superscript"/>
        </w:rPr>
        <w:t xml:space="preserve"> </w:t>
      </w:r>
      <w:r>
        <w:rPr>
          <w:rFonts w:hint="eastAsia" w:ascii="仿宋_GB2312" w:hAnsi="宋体" w:eastAsia="仿宋_GB2312"/>
          <w:sz w:val="28"/>
          <w:szCs w:val="28"/>
        </w:rPr>
        <w:t>000</w:t>
      </w:r>
      <w:r>
        <w:rPr>
          <w:rFonts w:hint="eastAsia" w:ascii="仿宋_GB2312" w:hAnsi="宋体" w:eastAsia="仿宋_GB2312"/>
          <w:sz w:val="28"/>
          <w:szCs w:val="28"/>
          <w:vertAlign w:val="superscript"/>
        </w:rPr>
        <w:t xml:space="preserve"> </w:t>
      </w:r>
      <w:r>
        <w:rPr>
          <w:rFonts w:hint="eastAsia" w:ascii="仿宋_GB2312" w:hAnsi="宋体" w:eastAsia="仿宋_GB2312"/>
          <w:sz w:val="28"/>
          <w:szCs w:val="28"/>
        </w:rPr>
        <w:t>hm</w:t>
      </w:r>
      <w:r>
        <w:rPr>
          <w:rFonts w:hint="eastAsia" w:ascii="仿宋_GB2312" w:hAnsi="宋体" w:eastAsia="仿宋_GB2312"/>
          <w:sz w:val="28"/>
          <w:szCs w:val="28"/>
          <w:vertAlign w:val="superscript"/>
        </w:rPr>
        <w:t>2</w:t>
      </w:r>
      <w:r>
        <w:rPr>
          <w:rFonts w:hint="eastAsia" w:ascii="仿宋_GB2312" w:hAnsi="宋体" w:eastAsia="仿宋_GB2312"/>
          <w:sz w:val="28"/>
          <w:szCs w:val="28"/>
        </w:rPr>
        <w:t>，保护产量80</w:t>
      </w:r>
      <w:r>
        <w:rPr>
          <w:rFonts w:hint="eastAsia" w:ascii="仿宋_GB2312" w:hAnsi="宋体" w:eastAsia="仿宋_GB2312"/>
          <w:sz w:val="28"/>
          <w:szCs w:val="28"/>
          <w:vertAlign w:val="superscript"/>
        </w:rPr>
        <w:t xml:space="preserve"> </w:t>
      </w:r>
      <w:r>
        <w:rPr>
          <w:rFonts w:hint="eastAsia" w:ascii="仿宋_GB2312" w:hAnsi="宋体" w:eastAsia="仿宋_GB2312"/>
          <w:sz w:val="28"/>
          <w:szCs w:val="28"/>
        </w:rPr>
        <w:t>000</w:t>
      </w:r>
      <w:r>
        <w:rPr>
          <w:rFonts w:hint="eastAsia" w:ascii="仿宋_GB2312" w:hAnsi="宋体" w:eastAsia="仿宋_GB2312"/>
          <w:sz w:val="28"/>
          <w:szCs w:val="28"/>
          <w:vertAlign w:val="superscript"/>
        </w:rPr>
        <w:t xml:space="preserve"> </w:t>
      </w:r>
      <w:r>
        <w:rPr>
          <w:rFonts w:hint="eastAsia" w:ascii="仿宋_GB2312" w:hAnsi="宋体" w:eastAsia="仿宋_GB2312"/>
          <w:sz w:val="28"/>
          <w:szCs w:val="28"/>
        </w:rPr>
        <w:t>t。</w:t>
      </w:r>
    </w:p>
    <w:p>
      <w:pPr>
        <w:autoSpaceDE w:val="0"/>
        <w:autoSpaceDN w:val="0"/>
        <w:adjustRightInd w:val="0"/>
        <w:ind w:firstLine="560" w:firstLineChars="200"/>
        <w:jc w:val="left"/>
        <w:rPr>
          <w:rFonts w:ascii="仿宋_GB2312" w:hAnsi="宋体" w:eastAsia="仿宋_GB2312"/>
          <w:sz w:val="28"/>
          <w:szCs w:val="28"/>
        </w:rPr>
      </w:pPr>
      <w:r>
        <w:rPr>
          <w:rFonts w:hint="eastAsia" w:ascii="仿宋_GB2312" w:hAnsi="宋体" w:eastAsia="仿宋_GB2312"/>
          <w:sz w:val="28"/>
          <w:szCs w:val="28"/>
        </w:rPr>
        <w:t>所以，为扩大广西六堡茶产量，保障广西六堡茶的特有品质，打造六堡茶区域品牌，提高六堡茶在国内外市场的影响力和竞争力，带动茶农脱贫致富，制定团体标准《地理标志农产品广西六堡茶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技术规程》，通过标准来统一规范广西六堡茶的</w:t>
      </w:r>
      <w:r>
        <w:rPr>
          <w:rFonts w:hint="eastAsia" w:ascii="仿宋_GB2312" w:hAnsi="宋体" w:eastAsia="仿宋_GB2312"/>
          <w:sz w:val="28"/>
          <w:szCs w:val="28"/>
          <w:lang w:eastAsia="zh-CN"/>
        </w:rPr>
        <w:t>栽培</w:t>
      </w:r>
      <w:r>
        <w:rPr>
          <w:rFonts w:hint="eastAsia" w:ascii="仿宋_GB2312" w:hAnsi="宋体" w:eastAsia="仿宋_GB2312"/>
          <w:sz w:val="28"/>
          <w:szCs w:val="28"/>
        </w:rPr>
        <w:t>技术，建立健全广西六堡茶标准化体系，对持续提升广西六堡茶的</w:t>
      </w:r>
      <w:r>
        <w:rPr>
          <w:rFonts w:hint="eastAsia" w:ascii="仿宋_GB2312" w:hAnsi="宋体" w:eastAsia="仿宋_GB2312"/>
          <w:sz w:val="28"/>
          <w:szCs w:val="28"/>
          <w:lang w:eastAsia="zh-CN"/>
        </w:rPr>
        <w:t>栽培</w:t>
      </w:r>
      <w:r>
        <w:rPr>
          <w:rFonts w:hint="eastAsia" w:ascii="仿宋_GB2312" w:hAnsi="宋体" w:eastAsia="仿宋_GB2312"/>
          <w:sz w:val="28"/>
          <w:szCs w:val="28"/>
        </w:rPr>
        <w:t>技术水平，打造广西六堡茶区域品牌，推动广西六堡茶产业高质量发展，助力乡村振兴具有重要意义。</w:t>
      </w:r>
    </w:p>
    <w:p>
      <w:pPr>
        <w:autoSpaceDE w:val="0"/>
        <w:autoSpaceDN w:val="0"/>
        <w:adjustRightInd w:val="0"/>
        <w:ind w:firstLine="560" w:firstLineChars="200"/>
        <w:jc w:val="left"/>
        <w:rPr>
          <w:rFonts w:ascii="黑体" w:hAnsi="黑体" w:eastAsia="黑体" w:cs="仿宋_GB2312"/>
          <w:sz w:val="28"/>
          <w:szCs w:val="28"/>
        </w:rPr>
      </w:pPr>
      <w:r>
        <w:rPr>
          <w:rFonts w:hint="eastAsia" w:ascii="黑体" w:hAnsi="黑体" w:eastAsia="黑体" w:cs="仿宋_GB2312"/>
          <w:sz w:val="28"/>
          <w:szCs w:val="28"/>
        </w:rPr>
        <w:t>三、项目编制过程</w:t>
      </w:r>
    </w:p>
    <w:p>
      <w:pPr>
        <w:ind w:firstLine="562" w:firstLineChars="200"/>
        <w:rPr>
          <w:rFonts w:ascii="仿宋_GB2312" w:hAnsi="宋体" w:eastAsia="仿宋_GB2312"/>
          <w:sz w:val="28"/>
          <w:szCs w:val="28"/>
        </w:rPr>
      </w:pPr>
      <w:r>
        <w:rPr>
          <w:rFonts w:hint="eastAsia" w:ascii="仿宋_GB2312" w:hAnsi="仿宋_GB2312" w:eastAsia="仿宋_GB2312" w:cs="仿宋_GB2312"/>
          <w:b/>
          <w:sz w:val="28"/>
          <w:szCs w:val="28"/>
        </w:rPr>
        <w:t>（一）成立标准编制工作组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团体标准《地理标志农产品广西六堡茶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规程》项目任务下达后，广西茶业协会、广西茶叶科学研究所、广西茶叶学会、广西茶叶流通协会、广西标准化协会成立了标准编制工作组，起草单位制定了起草编写方案与进度安排，明确任务职责，确定工作技术路线，开展标准研制工作。具体标准编制工作由广西茶业协会、广西茶叶科学研究所、广西茶叶学会、广西茶叶流通协会、广西标准化协会组成标准编制工作组。</w:t>
      </w:r>
    </w:p>
    <w:p>
      <w:pPr>
        <w:ind w:firstLine="560" w:firstLineChars="200"/>
        <w:rPr>
          <w:rFonts w:ascii="仿宋_GB2312" w:hAnsi="宋体" w:eastAsia="仿宋_GB2312"/>
          <w:sz w:val="28"/>
          <w:szCs w:val="28"/>
        </w:rPr>
      </w:pPr>
      <w:r>
        <w:rPr>
          <w:rFonts w:hint="eastAsia" w:ascii="仿宋_GB2312" w:hAnsi="宋体" w:eastAsia="仿宋_GB2312"/>
          <w:sz w:val="28"/>
          <w:szCs w:val="28"/>
        </w:rPr>
        <w:t>编制工作组下设三个组，分别是资料收集组、草案编写组、标准实施组。</w:t>
      </w:r>
    </w:p>
    <w:p>
      <w:pPr>
        <w:ind w:firstLine="560" w:firstLineChars="200"/>
        <w:rPr>
          <w:rFonts w:ascii="仿宋_GB2312" w:hAnsi="宋体" w:eastAsia="仿宋_GB2312"/>
          <w:sz w:val="28"/>
          <w:szCs w:val="28"/>
        </w:rPr>
      </w:pPr>
      <w:r>
        <w:rPr>
          <w:rFonts w:hint="eastAsia" w:ascii="仿宋_GB2312" w:hAnsi="宋体" w:eastAsia="仿宋_GB2312"/>
          <w:sz w:val="28"/>
          <w:szCs w:val="28"/>
        </w:rPr>
        <w:t>资料收集组负责国内外有关广西六堡茶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技术的文献资料的查询、收集和整理工作，查阅前人对广西六堡茶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技术的研究情况和目前科学界对广西六堡茶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技术的研究进展。</w:t>
      </w:r>
    </w:p>
    <w:p>
      <w:pPr>
        <w:ind w:firstLine="560" w:firstLineChars="200"/>
        <w:rPr>
          <w:rFonts w:ascii="仿宋_GB2312" w:hAnsi="宋体" w:eastAsia="仿宋_GB2312"/>
          <w:sz w:val="28"/>
          <w:szCs w:val="28"/>
        </w:rPr>
      </w:pPr>
      <w:r>
        <w:rPr>
          <w:rFonts w:hint="eastAsia" w:ascii="仿宋_GB2312" w:hAnsi="宋体" w:eastAsia="仿宋_GB2312"/>
          <w:sz w:val="28"/>
          <w:szCs w:val="28"/>
        </w:rPr>
        <w:t>草案编写组负责起草标准草案、征求意见稿和标准编制说明、送审稿及编制说明的编写工作，包括后期召开征求意见会、网上征求意见，以及标准的不断修改和完善。</w:t>
      </w:r>
    </w:p>
    <w:p>
      <w:pPr>
        <w:ind w:firstLine="560" w:firstLineChars="200"/>
        <w:rPr>
          <w:rFonts w:ascii="仿宋_GB2312" w:hAnsi="宋体" w:eastAsia="仿宋_GB2312"/>
          <w:sz w:val="28"/>
          <w:szCs w:val="28"/>
        </w:rPr>
      </w:pPr>
      <w:r>
        <w:rPr>
          <w:rFonts w:hint="eastAsia" w:ascii="仿宋_GB2312" w:hAnsi="宋体" w:eastAsia="仿宋_GB2312"/>
          <w:sz w:val="28"/>
          <w:szCs w:val="28"/>
        </w:rPr>
        <w:t>标准实施组负责《地理标志农产品广西六堡茶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技术规程》团体标准发布后，组织广西六堡茶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企业、广西六堡茶种植户开展标准宣贯培训会，对标准进行详细解读，让相关人员了解标准，并根据标准对广西六堡茶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技术的</w:t>
      </w:r>
      <w:r>
        <w:rPr>
          <w:rFonts w:hint="eastAsia" w:ascii="仿宋_GB2312" w:hAnsi="宋体" w:eastAsia="仿宋_GB2312"/>
          <w:sz w:val="28"/>
          <w:szCs w:val="28"/>
          <w:lang w:eastAsia="zh-CN"/>
        </w:rPr>
        <w:t>栽培</w:t>
      </w:r>
      <w:r>
        <w:rPr>
          <w:rFonts w:hint="eastAsia" w:ascii="仿宋_GB2312" w:hAnsi="宋体" w:eastAsia="仿宋_GB2312"/>
          <w:sz w:val="28"/>
          <w:szCs w:val="28"/>
        </w:rPr>
        <w:t>过程卫生要求、设备及工具要求、原料要求、</w:t>
      </w:r>
      <w:r>
        <w:rPr>
          <w:rFonts w:hint="eastAsia" w:ascii="仿宋_GB2312" w:hAnsi="宋体" w:eastAsia="仿宋_GB2312"/>
          <w:sz w:val="28"/>
          <w:szCs w:val="28"/>
          <w:lang w:eastAsia="zh-CN"/>
        </w:rPr>
        <w:t>栽培</w:t>
      </w:r>
      <w:r>
        <w:rPr>
          <w:rFonts w:hint="eastAsia" w:ascii="仿宋_GB2312" w:hAnsi="宋体" w:eastAsia="仿宋_GB2312"/>
          <w:sz w:val="28"/>
          <w:szCs w:val="28"/>
        </w:rPr>
        <w:t>工艺等进行规范化操作，保证广西六堡茶的</w:t>
      </w:r>
      <w:r>
        <w:rPr>
          <w:rFonts w:hint="eastAsia" w:ascii="仿宋_GB2312" w:hAnsi="宋体" w:eastAsia="仿宋_GB2312"/>
          <w:sz w:val="28"/>
          <w:szCs w:val="28"/>
          <w:lang w:eastAsia="zh-CN"/>
        </w:rPr>
        <w:t>栽培</w:t>
      </w:r>
      <w:r>
        <w:rPr>
          <w:rFonts w:hint="eastAsia" w:ascii="仿宋_GB2312" w:hAnsi="宋体" w:eastAsia="仿宋_GB2312"/>
          <w:sz w:val="28"/>
          <w:szCs w:val="28"/>
        </w:rPr>
        <w:t>生产质量，并对标准实施情况进行总结分析，不断对团体标准提出修正意见。</w:t>
      </w:r>
    </w:p>
    <w:p>
      <w:pPr>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（二）收集整理文献资料</w:t>
      </w:r>
    </w:p>
    <w:p>
      <w:pPr>
        <w:ind w:firstLine="560" w:firstLineChars="200"/>
        <w:rPr>
          <w:rFonts w:ascii="仿宋_GB2312" w:hAnsi="宋体" w:eastAsia="仿宋_GB2312"/>
          <w:sz w:val="28"/>
          <w:szCs w:val="28"/>
        </w:rPr>
      </w:pPr>
      <w:r>
        <w:rPr>
          <w:rFonts w:hint="eastAsia" w:ascii="仿宋_GB2312" w:hAnsi="宋体" w:eastAsia="仿宋_GB2312"/>
          <w:sz w:val="28"/>
          <w:szCs w:val="28"/>
        </w:rPr>
        <w:t>标准编制工作组收集了国内有关</w:t>
      </w:r>
      <w:r>
        <w:rPr>
          <w:rFonts w:hint="eastAsia" w:ascii="仿宋_GB2312" w:hAnsi="宋体" w:eastAsia="仿宋_GB2312"/>
          <w:sz w:val="28"/>
          <w:szCs w:val="28"/>
          <w:lang w:eastAsia="zh-CN"/>
        </w:rPr>
        <w:t>六堡茶栽培技术</w:t>
      </w:r>
      <w:r>
        <w:rPr>
          <w:rFonts w:hint="eastAsia" w:ascii="仿宋_GB2312" w:hAnsi="宋体" w:eastAsia="仿宋_GB2312"/>
          <w:sz w:val="28"/>
          <w:szCs w:val="28"/>
        </w:rPr>
        <w:t>相关文献资料。主要有：</w:t>
      </w:r>
    </w:p>
    <w:p>
      <w:pPr>
        <w:ind w:firstLine="560" w:firstLineChars="200"/>
        <w:rPr>
          <w:rFonts w:hint="eastAsia" w:ascii="仿宋_GB2312" w:hAnsi="宋体" w:eastAsia="仿宋_GB2312"/>
          <w:sz w:val="28"/>
          <w:szCs w:val="28"/>
          <w:lang w:bidi="zh-CN"/>
        </w:rPr>
      </w:pPr>
      <w:r>
        <w:rPr>
          <w:rFonts w:hint="eastAsia" w:ascii="仿宋_GB2312" w:hAnsi="宋体" w:eastAsia="仿宋_GB2312"/>
          <w:sz w:val="28"/>
          <w:szCs w:val="28"/>
          <w:lang w:bidi="zh-CN"/>
        </w:rPr>
        <w:t>GB 11767  茶树种苗</w:t>
      </w:r>
    </w:p>
    <w:p>
      <w:pPr>
        <w:ind w:firstLine="560" w:firstLineChars="200"/>
        <w:rPr>
          <w:rFonts w:hint="eastAsia" w:ascii="仿宋_GB2312" w:hAnsi="宋体" w:eastAsia="仿宋_GB2312"/>
          <w:sz w:val="28"/>
          <w:szCs w:val="28"/>
          <w:lang w:bidi="zh-CN"/>
        </w:rPr>
      </w:pPr>
      <w:r>
        <w:rPr>
          <w:rFonts w:hint="eastAsia" w:ascii="仿宋_GB2312" w:hAnsi="宋体" w:eastAsia="仿宋_GB2312"/>
          <w:sz w:val="28"/>
          <w:szCs w:val="28"/>
          <w:lang w:bidi="zh-CN"/>
        </w:rPr>
        <w:t>NY/T 225  机械化采茶技术规程</w:t>
      </w:r>
    </w:p>
    <w:p>
      <w:pPr>
        <w:ind w:firstLine="560" w:firstLineChars="200"/>
        <w:rPr>
          <w:rFonts w:hint="eastAsia" w:ascii="仿宋_GB2312" w:hAnsi="宋体" w:eastAsia="仿宋_GB2312"/>
          <w:sz w:val="28"/>
          <w:szCs w:val="28"/>
          <w:lang w:bidi="zh-CN"/>
        </w:rPr>
      </w:pPr>
      <w:r>
        <w:rPr>
          <w:rFonts w:hint="eastAsia" w:ascii="仿宋_GB2312" w:hAnsi="宋体" w:eastAsia="仿宋_GB2312"/>
          <w:sz w:val="28"/>
          <w:szCs w:val="28"/>
          <w:lang w:bidi="zh-CN"/>
        </w:rPr>
        <w:t>NY/T 496  肥料合理使用准则  通则</w:t>
      </w:r>
    </w:p>
    <w:p>
      <w:pPr>
        <w:ind w:firstLine="560" w:firstLineChars="200"/>
        <w:rPr>
          <w:rFonts w:hint="eastAsia" w:ascii="仿宋_GB2312" w:hAnsi="宋体" w:eastAsia="仿宋_GB2312"/>
          <w:sz w:val="28"/>
          <w:szCs w:val="28"/>
          <w:lang w:bidi="zh-CN"/>
        </w:rPr>
      </w:pPr>
      <w:r>
        <w:rPr>
          <w:rFonts w:hint="eastAsia" w:ascii="仿宋_GB2312" w:hAnsi="宋体" w:eastAsia="仿宋_GB2312"/>
          <w:sz w:val="28"/>
          <w:szCs w:val="28"/>
          <w:lang w:bidi="zh-CN"/>
        </w:rPr>
        <w:t>NY/T 5010  无公害农产品  种植业产地环境条件</w:t>
      </w:r>
    </w:p>
    <w:p>
      <w:pPr>
        <w:ind w:firstLine="560" w:firstLineChars="200"/>
        <w:rPr>
          <w:rFonts w:ascii="仿宋_GB2312" w:hAnsi="宋体" w:eastAsia="仿宋_GB2312"/>
          <w:sz w:val="28"/>
          <w:szCs w:val="28"/>
          <w:lang w:bidi="zh-CN"/>
        </w:rPr>
      </w:pPr>
      <w:r>
        <w:rPr>
          <w:rFonts w:hint="eastAsia" w:ascii="仿宋_GB2312" w:hAnsi="宋体" w:eastAsia="仿宋_GB2312"/>
          <w:sz w:val="28"/>
          <w:szCs w:val="28"/>
          <w:lang w:bidi="zh-CN"/>
        </w:rPr>
        <w:t>DB45/T 1243  茶树主要病虫害绿色防控技术规程</w:t>
      </w:r>
    </w:p>
    <w:p>
      <w:pPr>
        <w:ind w:firstLine="560" w:firstLineChars="200"/>
        <w:rPr>
          <w:rFonts w:ascii="仿宋_GB2312" w:hAnsi="宋体" w:eastAsia="仿宋_GB2312"/>
          <w:sz w:val="28"/>
          <w:szCs w:val="28"/>
          <w:lang w:bidi="zh-CN"/>
        </w:rPr>
      </w:pPr>
      <w:r>
        <w:rPr>
          <w:rFonts w:ascii="仿宋_GB2312" w:hAnsi="宋体" w:eastAsia="仿宋_GB2312"/>
          <w:sz w:val="28"/>
          <w:szCs w:val="28"/>
          <w:lang w:bidi="zh-CN"/>
        </w:rPr>
        <w:t xml:space="preserve">DB45/T 479  </w:t>
      </w:r>
      <w:r>
        <w:rPr>
          <w:rFonts w:hint="eastAsia" w:ascii="仿宋_GB2312" w:hAnsi="宋体" w:eastAsia="仿宋_GB2312"/>
          <w:sz w:val="28"/>
          <w:szCs w:val="28"/>
          <w:lang w:bidi="zh-CN"/>
        </w:rPr>
        <w:t>六堡茶生产技术规程</w:t>
      </w:r>
    </w:p>
    <w:p>
      <w:pPr>
        <w:ind w:firstLine="560" w:firstLineChars="200"/>
        <w:rPr>
          <w:rFonts w:hint="eastAsia" w:ascii="仿宋_GB2312" w:hAnsi="宋体" w:eastAsia="仿宋_GB2312"/>
          <w:sz w:val="28"/>
          <w:szCs w:val="28"/>
          <w:lang w:bidi="zh-CN"/>
        </w:rPr>
      </w:pPr>
      <w:r>
        <w:rPr>
          <w:rFonts w:hint="eastAsia" w:ascii="仿宋_GB2312" w:hAnsi="宋体" w:eastAsia="仿宋_GB2312"/>
          <w:sz w:val="28"/>
          <w:szCs w:val="28"/>
          <w:lang w:bidi="zh-CN"/>
        </w:rPr>
        <w:t>D</w:t>
      </w:r>
      <w:r>
        <w:rPr>
          <w:rFonts w:ascii="仿宋_GB2312" w:hAnsi="宋体" w:eastAsia="仿宋_GB2312"/>
          <w:sz w:val="28"/>
          <w:szCs w:val="28"/>
          <w:lang w:bidi="zh-CN"/>
        </w:rPr>
        <w:t xml:space="preserve">B45/T 1114  </w:t>
      </w:r>
      <w:r>
        <w:rPr>
          <w:rFonts w:hint="eastAsia" w:ascii="仿宋_GB2312" w:hAnsi="宋体" w:eastAsia="仿宋_GB2312"/>
          <w:sz w:val="28"/>
          <w:szCs w:val="28"/>
          <w:lang w:bidi="zh-CN"/>
        </w:rPr>
        <w:t xml:space="preserve">地理标志农产品 </w:t>
      </w:r>
      <w:r>
        <w:rPr>
          <w:rFonts w:ascii="仿宋_GB2312" w:hAnsi="宋体" w:eastAsia="仿宋_GB2312"/>
          <w:sz w:val="28"/>
          <w:szCs w:val="28"/>
          <w:lang w:bidi="zh-CN"/>
        </w:rPr>
        <w:t xml:space="preserve"> </w:t>
      </w:r>
      <w:r>
        <w:rPr>
          <w:rFonts w:hint="eastAsia" w:ascii="仿宋_GB2312" w:hAnsi="宋体" w:eastAsia="仿宋_GB2312"/>
          <w:sz w:val="28"/>
          <w:szCs w:val="28"/>
          <w:lang w:bidi="zh-CN"/>
        </w:rPr>
        <w:t>六堡茶</w:t>
      </w:r>
    </w:p>
    <w:p>
      <w:pPr>
        <w:ind w:firstLine="560" w:firstLineChars="200"/>
        <w:rPr>
          <w:rFonts w:ascii="仿宋_GB2312" w:hAnsi="宋体" w:eastAsia="仿宋_GB2312"/>
          <w:sz w:val="28"/>
          <w:szCs w:val="28"/>
          <w:lang w:bidi="zh-CN"/>
        </w:rPr>
      </w:pPr>
      <w:r>
        <w:rPr>
          <w:rFonts w:hint="eastAsia" w:ascii="仿宋_GB2312" w:hAnsi="宋体" w:eastAsia="仿宋_GB2312"/>
          <w:sz w:val="28"/>
          <w:szCs w:val="28"/>
          <w:lang w:bidi="zh-CN"/>
        </w:rPr>
        <w:t>Q/GXNK 011-2021  六堡茶栽培技术规程</w:t>
      </w:r>
    </w:p>
    <w:p>
      <w:pPr>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ind w:firstLine="560" w:firstLineChars="200"/>
        <w:rPr>
          <w:rFonts w:ascii="仿宋_GB2312" w:hAnsi="宋体" w:eastAsia="仿宋_GB2312"/>
          <w:sz w:val="28"/>
          <w:szCs w:val="28"/>
        </w:rPr>
      </w:pPr>
      <w:r>
        <w:rPr>
          <w:rFonts w:hint="eastAsia" w:ascii="仿宋_GB2312" w:hAnsi="宋体" w:eastAsia="仿宋_GB2312"/>
          <w:sz w:val="28"/>
          <w:szCs w:val="28"/>
        </w:rPr>
        <w:t>标准编制工作组在对收集的资料进行整理研究之后，2021年6月，标准编制工作组召开了标准编制会议，对标准的整体框架结构进行了研究，并对标准的关键性内容进行了初步探讨。经过研究，标准的主体内容确定为</w:t>
      </w:r>
      <w:r>
        <w:rPr>
          <w:rFonts w:hint="eastAsia" w:ascii="仿宋_GB2312" w:hAnsi="宋体" w:eastAsia="仿宋_GB2312"/>
          <w:sz w:val="28"/>
          <w:szCs w:val="28"/>
          <w:lang w:eastAsia="zh-CN"/>
        </w:rPr>
        <w:t>地理标志农产品广西六堡茶栽培的程序，规定了园地选择、规划与建设、茶树种植、茶园管理、病虫害防治、鲜叶采摘及运输的操作指示，描述了生产档案的追溯方法</w:t>
      </w:r>
      <w:r>
        <w:rPr>
          <w:rFonts w:hint="eastAsia" w:ascii="仿宋_GB2312" w:hAnsi="宋体" w:eastAsia="仿宋_GB2312"/>
          <w:sz w:val="28"/>
          <w:szCs w:val="28"/>
        </w:rPr>
        <w:t>。</w:t>
      </w:r>
    </w:p>
    <w:p>
      <w:pPr>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（四）调研、形成征求意见稿</w:t>
      </w:r>
    </w:p>
    <w:p>
      <w:pPr>
        <w:ind w:firstLine="560" w:firstLineChars="200"/>
        <w:rPr>
          <w:rFonts w:ascii="仿宋_GB2312" w:hAnsi="宋体" w:eastAsia="仿宋_GB2312"/>
          <w:sz w:val="28"/>
          <w:szCs w:val="28"/>
        </w:rPr>
      </w:pPr>
      <w:r>
        <w:rPr>
          <w:rFonts w:hint="eastAsia" w:ascii="仿宋_GB2312" w:hAnsi="宋体" w:eastAsia="仿宋_GB2312"/>
          <w:sz w:val="28"/>
          <w:szCs w:val="28"/>
        </w:rPr>
        <w:t>2021年7月，标准起草工作小组进行了广泛实地调研工作，查阅了大量的国内外文献资料，对广西六堡茶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技术的前人研究成果进行系统总结。形成了标准的基本构架，对主要内容进行了讨论并对项目的工作进行了部署和安排。</w:t>
      </w:r>
    </w:p>
    <w:p>
      <w:pPr>
        <w:ind w:firstLine="560" w:firstLineChars="200"/>
        <w:rPr>
          <w:rFonts w:ascii="仿宋_GB2312" w:hAnsi="宋体" w:eastAsia="仿宋_GB2312"/>
          <w:sz w:val="28"/>
          <w:szCs w:val="28"/>
        </w:rPr>
      </w:pPr>
      <w:r>
        <w:rPr>
          <w:rFonts w:hint="eastAsia" w:ascii="仿宋_GB2312" w:hAnsi="宋体" w:eastAsia="仿宋_GB2312"/>
          <w:sz w:val="28"/>
          <w:szCs w:val="28"/>
        </w:rPr>
        <w:t>2021年8月，在前期工作的基础之上，通过理清逻辑脉络，整合已有的参考资料中有关广西六堡茶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的技术要求，并结合广西六堡茶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实际要求的基础上，按照简化、统一等原则编制完成团体标准《地理标志农产品广西六堡茶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技术规程》（草案）。</w:t>
      </w:r>
    </w:p>
    <w:p>
      <w:pPr>
        <w:ind w:firstLine="560" w:firstLineChars="200"/>
        <w:rPr>
          <w:rFonts w:ascii="仿宋_GB2312" w:hAnsi="宋体" w:eastAsia="仿宋_GB2312"/>
          <w:sz w:val="28"/>
          <w:szCs w:val="28"/>
        </w:rPr>
      </w:pPr>
      <w:r>
        <w:rPr>
          <w:rFonts w:hint="eastAsia" w:ascii="仿宋_GB2312" w:hAnsi="宋体" w:eastAsia="仿宋_GB2312"/>
          <w:sz w:val="28"/>
          <w:szCs w:val="28"/>
        </w:rPr>
        <w:t>2021年9月，标准起草工作组再次深入区内涉及广西六堡茶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销售的有代表性的农户、企业针对六堡茶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情况进行分组实地调研学习。通过实地调研，掌握各地方关于六堡茶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的具体技术要求。并实际征求意见，通过收集反馈了大量意见，标准编制工作组多次召开会议，对标准草案进行了反复修改和研究讨论。进一步讨论完善标准草案，形成团体标准《地理标志农产品广西六堡茶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技术规程》（征求意见稿）和（征求意见稿）编制说明。</w:t>
      </w:r>
    </w:p>
    <w:p>
      <w:pPr>
        <w:autoSpaceDE w:val="0"/>
        <w:autoSpaceDN w:val="0"/>
        <w:adjustRightInd w:val="0"/>
        <w:ind w:firstLine="640" w:firstLineChars="200"/>
        <w:jc w:val="left"/>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pPr>
        <w:ind w:firstLine="560" w:firstLineChars="200"/>
        <w:rPr>
          <w:rFonts w:ascii="仿宋_GB2312" w:hAnsi="宋体" w:eastAsia="仿宋_GB2312"/>
          <w:sz w:val="28"/>
          <w:szCs w:val="28"/>
        </w:rPr>
      </w:pPr>
      <w:r>
        <w:rPr>
          <w:rFonts w:hint="eastAsia" w:ascii="仿宋_GB2312" w:hAnsi="宋体" w:eastAsia="仿宋_GB2312"/>
          <w:sz w:val="28"/>
          <w:szCs w:val="28"/>
        </w:rPr>
        <w:t>1、实用性原则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本文件是在充分收集相关资料和文献，分析广西六堡茶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技术当前现状，调研各六堡茶市场情况</w:t>
      </w:r>
      <w:r>
        <w:rPr>
          <w:rFonts w:hint="eastAsia"/>
          <w:sz w:val="28"/>
          <w:szCs w:val="28"/>
        </w:rPr>
        <w:t>，</w:t>
      </w:r>
      <w:r>
        <w:rPr>
          <w:rFonts w:hint="eastAsia" w:ascii="仿宋_GB2312" w:hAnsi="宋体" w:eastAsia="仿宋_GB2312"/>
          <w:sz w:val="28"/>
          <w:szCs w:val="28"/>
        </w:rPr>
        <w:t>在现有国家、行业标准相关六堡茶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技术要求的基础上，结合</w:t>
      </w:r>
      <w:r>
        <w:rPr>
          <w:rFonts w:ascii="仿宋_GB2312" w:hAnsi="宋体" w:eastAsia="仿宋_GB2312"/>
          <w:sz w:val="28"/>
          <w:szCs w:val="28"/>
        </w:rPr>
        <w:t>广西</w:t>
      </w:r>
      <w:r>
        <w:rPr>
          <w:rFonts w:hint="eastAsia" w:ascii="仿宋_GB2312" w:hAnsi="宋体" w:eastAsia="仿宋_GB2312"/>
          <w:sz w:val="28"/>
          <w:szCs w:val="28"/>
        </w:rPr>
        <w:t>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企业多年的六堡茶生产</w:t>
      </w:r>
      <w:r>
        <w:rPr>
          <w:rFonts w:hint="eastAsia" w:ascii="仿宋_GB2312" w:hAnsi="宋体" w:eastAsia="仿宋_GB2312"/>
          <w:sz w:val="28"/>
          <w:szCs w:val="28"/>
          <w:lang w:eastAsia="zh-CN"/>
        </w:rPr>
        <w:t>栽培</w:t>
      </w:r>
      <w:r>
        <w:rPr>
          <w:rFonts w:hint="eastAsia" w:ascii="仿宋_GB2312" w:hAnsi="宋体" w:eastAsia="仿宋_GB2312"/>
          <w:sz w:val="28"/>
          <w:szCs w:val="28"/>
        </w:rPr>
        <w:t>经验、试验而总结起草的，符合当前广西六堡茶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技术发展的方向与市场需求，有利于行业的长远发展，有利于提高广西六堡茶质量和商品经济价值，提高农民经济效益，对推动我区六堡茶产业健康发展，促进农民增收脱贫，具有较强的实用性和可操作性。</w:t>
      </w:r>
    </w:p>
    <w:p>
      <w:pPr>
        <w:ind w:firstLine="560" w:firstLineChars="200"/>
        <w:rPr>
          <w:rFonts w:ascii="仿宋_GB2312" w:hAnsi="宋体" w:eastAsia="仿宋_GB2312"/>
          <w:sz w:val="28"/>
          <w:szCs w:val="28"/>
        </w:rPr>
      </w:pPr>
      <w:r>
        <w:rPr>
          <w:rFonts w:hint="eastAsia" w:ascii="仿宋_GB2312" w:hAnsi="宋体" w:eastAsia="仿宋_GB2312"/>
          <w:sz w:val="28"/>
          <w:szCs w:val="28"/>
        </w:rPr>
        <w:t>2、协调性原则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本文件编写过程中注意了与广西六堡茶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技术相关法律法规的协调问题，在内容上与现行法律法规、标准协调一致。</w:t>
      </w:r>
    </w:p>
    <w:p>
      <w:pPr>
        <w:ind w:firstLine="560" w:firstLineChars="200"/>
        <w:rPr>
          <w:rFonts w:ascii="仿宋_GB2312" w:hAnsi="宋体" w:eastAsia="仿宋_GB2312"/>
          <w:sz w:val="28"/>
          <w:szCs w:val="28"/>
        </w:rPr>
      </w:pPr>
      <w:r>
        <w:rPr>
          <w:rFonts w:hint="eastAsia" w:ascii="仿宋_GB2312" w:hAnsi="宋体" w:eastAsia="仿宋_GB2312"/>
          <w:sz w:val="28"/>
          <w:szCs w:val="28"/>
        </w:rPr>
        <w:t>3、规范性原则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本文件严格按照GB/T 1.1—2020《标准化工作导则  第1部分：标准化文件的结构和起草规则》编写本标准的内容，保证标准的编写质量。</w:t>
      </w:r>
    </w:p>
    <w:p>
      <w:pPr>
        <w:ind w:firstLine="560" w:firstLineChars="200"/>
        <w:rPr>
          <w:rFonts w:ascii="仿宋_GB2312" w:hAnsi="宋体" w:eastAsia="仿宋_GB2312"/>
          <w:sz w:val="28"/>
          <w:szCs w:val="28"/>
        </w:rPr>
      </w:pPr>
      <w:r>
        <w:rPr>
          <w:rFonts w:hint="eastAsia" w:ascii="仿宋_GB2312" w:hAnsi="宋体" w:eastAsia="仿宋_GB2312"/>
          <w:sz w:val="28"/>
          <w:szCs w:val="28"/>
        </w:rPr>
        <w:t>4、前瞻性原则</w:t>
      </w:r>
    </w:p>
    <w:p>
      <w:pPr>
        <w:ind w:firstLine="560" w:firstLineChars="200"/>
        <w:rPr>
          <w:rFonts w:ascii="仿宋_GB2312" w:hAnsi="宋体" w:eastAsia="仿宋_GB2312"/>
          <w:sz w:val="28"/>
          <w:szCs w:val="28"/>
        </w:rPr>
      </w:pPr>
      <w:r>
        <w:rPr>
          <w:rFonts w:hint="eastAsia" w:ascii="仿宋_GB2312" w:hAnsi="宋体" w:eastAsia="仿宋_GB2312"/>
          <w:sz w:val="28"/>
          <w:szCs w:val="28"/>
        </w:rPr>
        <w:t>本文件在兼顾当前区内六堡茶市场</w:t>
      </w:r>
      <w:r>
        <w:rPr>
          <w:rFonts w:hint="eastAsia" w:ascii="仿宋_GB2312" w:hAnsi="宋体" w:eastAsia="仿宋_GB2312"/>
          <w:sz w:val="28"/>
          <w:szCs w:val="28"/>
          <w:lang w:eastAsia="zh-CN"/>
        </w:rPr>
        <w:t>栽培</w:t>
      </w:r>
      <w:r>
        <w:rPr>
          <w:rFonts w:hint="eastAsia" w:ascii="仿宋_GB2312" w:hAnsi="宋体" w:eastAsia="仿宋_GB2312"/>
          <w:sz w:val="28"/>
          <w:szCs w:val="28"/>
        </w:rPr>
        <w:t>技术现实情况的同时，还考虑到了茶业快速发展的趋势和需要，在标准中体现了个别特色性、前瞻性和先进性条款，作为对广西六堡茶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技术发展的指导。</w:t>
      </w:r>
    </w:p>
    <w:p>
      <w:pPr>
        <w:numPr>
          <w:ilvl w:val="0"/>
          <w:numId w:val="9"/>
        </w:numPr>
        <w:autoSpaceDE w:val="0"/>
        <w:autoSpaceDN w:val="0"/>
        <w:adjustRightInd w:val="0"/>
        <w:ind w:firstLine="640" w:firstLineChars="200"/>
        <w:jc w:val="left"/>
        <w:rPr>
          <w:rFonts w:ascii="黑体" w:hAnsi="黑体" w:eastAsia="黑体" w:cs="仿宋_GB2312"/>
          <w:sz w:val="32"/>
          <w:szCs w:val="32"/>
        </w:rPr>
      </w:pPr>
      <w:bookmarkStart w:id="1" w:name="_Toc526940084"/>
      <w:r>
        <w:rPr>
          <w:rFonts w:hint="eastAsia" w:ascii="黑体" w:hAnsi="黑体" w:eastAsia="黑体" w:cs="仿宋_GB2312"/>
          <w:sz w:val="32"/>
          <w:szCs w:val="32"/>
        </w:rPr>
        <w:t>标准主要内容及依据来源</w:t>
      </w:r>
      <w:bookmarkEnd w:id="1"/>
    </w:p>
    <w:p>
      <w:pPr>
        <w:spacing w:line="560" w:lineRule="exact"/>
        <w:ind w:firstLine="562" w:firstLineChars="200"/>
        <w:rPr>
          <w:rFonts w:hint="eastAsia" w:ascii="仿宋_GB2312" w:eastAsia="仿宋_GB2312"/>
          <w:sz w:val="28"/>
          <w:szCs w:val="28"/>
        </w:rPr>
      </w:pPr>
      <w:r>
        <w:rPr>
          <w:rFonts w:hint="eastAsia" w:ascii="仿宋_GB2312" w:eastAsia="仿宋_GB2312"/>
          <w:b/>
          <w:bCs/>
          <w:sz w:val="28"/>
          <w:szCs w:val="28"/>
        </w:rPr>
        <w:t>本标准技术内容</w:t>
      </w:r>
      <w:r>
        <w:rPr>
          <w:rFonts w:hint="eastAsia" w:ascii="仿宋_GB2312" w:eastAsia="仿宋_GB2312"/>
          <w:sz w:val="28"/>
          <w:szCs w:val="28"/>
        </w:rPr>
        <w:t>主要按</w:t>
      </w:r>
      <w:r>
        <w:rPr>
          <w:rFonts w:hint="eastAsia" w:ascii="仿宋_GB2312" w:eastAsia="仿宋_GB2312"/>
          <w:sz w:val="28"/>
          <w:szCs w:val="28"/>
          <w:lang w:eastAsia="zh-CN"/>
        </w:rPr>
        <w:t>国家农业农村部</w:t>
      </w:r>
      <w:r>
        <w:rPr>
          <w:rFonts w:hint="eastAsia" w:ascii="仿宋_GB2312" w:eastAsia="仿宋_GB2312"/>
          <w:sz w:val="28"/>
          <w:szCs w:val="28"/>
        </w:rPr>
        <w:t>发布20</w:t>
      </w:r>
      <w:r>
        <w:rPr>
          <w:rFonts w:hint="eastAsia" w:ascii="仿宋_GB2312" w:eastAsia="仿宋_GB2312"/>
          <w:sz w:val="28"/>
          <w:szCs w:val="28"/>
          <w:lang w:val="en-US" w:eastAsia="zh-CN"/>
        </w:rPr>
        <w:t>20</w:t>
      </w:r>
      <w:r>
        <w:rPr>
          <w:rFonts w:hint="eastAsia" w:ascii="仿宋_GB2312" w:eastAsia="仿宋_GB2312"/>
          <w:sz w:val="28"/>
          <w:szCs w:val="28"/>
        </w:rPr>
        <w:t>年对</w:t>
      </w:r>
      <w:r>
        <w:rPr>
          <w:rFonts w:hint="eastAsia" w:ascii="仿宋_GB2312" w:eastAsia="仿宋_GB2312"/>
          <w:sz w:val="28"/>
          <w:szCs w:val="28"/>
          <w:lang w:eastAsia="zh-CN"/>
        </w:rPr>
        <w:t>广西六堡茶</w:t>
      </w:r>
      <w:r>
        <w:rPr>
          <w:rFonts w:hint="eastAsia" w:ascii="仿宋_GB2312" w:eastAsia="仿宋_GB2312"/>
          <w:sz w:val="28"/>
          <w:szCs w:val="28"/>
        </w:rPr>
        <w:t>实施</w:t>
      </w:r>
      <w:r>
        <w:rPr>
          <w:rFonts w:hint="eastAsia" w:ascii="仿宋_GB2312" w:eastAsia="仿宋_GB2312"/>
          <w:sz w:val="28"/>
          <w:szCs w:val="28"/>
          <w:lang w:eastAsia="zh-CN"/>
        </w:rPr>
        <w:t>地理标志农产品</w:t>
      </w:r>
      <w:r>
        <w:rPr>
          <w:rFonts w:hint="eastAsia" w:ascii="仿宋_GB2312" w:eastAsia="仿宋_GB2312"/>
          <w:sz w:val="28"/>
          <w:szCs w:val="28"/>
        </w:rPr>
        <w:t>保护公告批准的项目指标及结合</w:t>
      </w:r>
      <w:r>
        <w:rPr>
          <w:rFonts w:hint="eastAsia" w:ascii="仿宋_GB2312" w:eastAsia="仿宋_GB2312"/>
          <w:sz w:val="28"/>
          <w:szCs w:val="28"/>
          <w:lang w:eastAsia="zh-CN"/>
        </w:rPr>
        <w:t>广西六堡茶</w:t>
      </w:r>
      <w:r>
        <w:rPr>
          <w:rFonts w:hint="eastAsia" w:ascii="仿宋_GB2312" w:eastAsia="仿宋_GB2312"/>
          <w:sz w:val="28"/>
          <w:szCs w:val="28"/>
        </w:rPr>
        <w:t>种植实际情况制定；</w:t>
      </w:r>
      <w:r>
        <w:rPr>
          <w:rFonts w:hint="eastAsia" w:ascii="仿宋_GB2312" w:eastAsia="仿宋_GB2312"/>
          <w:b/>
          <w:bCs/>
          <w:sz w:val="28"/>
          <w:szCs w:val="28"/>
        </w:rPr>
        <w:t>整体框架结构</w:t>
      </w:r>
      <w:r>
        <w:rPr>
          <w:rFonts w:hint="eastAsia" w:ascii="仿宋_GB2312" w:eastAsia="仿宋_GB2312"/>
          <w:sz w:val="28"/>
          <w:szCs w:val="28"/>
        </w:rPr>
        <w:t>主要依据NY/T 5018 《茶叶生产技术规程》结合</w:t>
      </w:r>
      <w:r>
        <w:rPr>
          <w:rFonts w:hint="eastAsia" w:ascii="仿宋_GB2312" w:eastAsia="仿宋_GB2312"/>
          <w:sz w:val="28"/>
          <w:szCs w:val="28"/>
          <w:lang w:eastAsia="zh-CN"/>
        </w:rPr>
        <w:t>广西六堡茶</w:t>
      </w:r>
      <w:r>
        <w:rPr>
          <w:rFonts w:hint="eastAsia" w:ascii="仿宋_GB2312" w:eastAsia="仿宋_GB2312"/>
          <w:sz w:val="28"/>
          <w:szCs w:val="28"/>
        </w:rPr>
        <w:t>种植生产的实际需求讨论确定。</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其中</w:t>
      </w:r>
      <w:r>
        <w:rPr>
          <w:rFonts w:hint="eastAsia" w:ascii="仿宋_GB2312" w:eastAsia="仿宋_GB2312"/>
          <w:b/>
          <w:bCs/>
          <w:sz w:val="28"/>
          <w:szCs w:val="28"/>
        </w:rPr>
        <w:t>术语和定义</w:t>
      </w:r>
      <w:r>
        <w:rPr>
          <w:rFonts w:hint="eastAsia" w:ascii="仿宋_GB2312" w:eastAsia="仿宋_GB2312"/>
          <w:sz w:val="28"/>
          <w:szCs w:val="28"/>
        </w:rPr>
        <w:t>主要是界定了</w:t>
      </w:r>
      <w:r>
        <w:rPr>
          <w:rFonts w:hint="eastAsia" w:ascii="仿宋_GB2312" w:eastAsia="仿宋_GB2312"/>
          <w:sz w:val="28"/>
          <w:szCs w:val="28"/>
          <w:lang w:eastAsia="zh-CN"/>
        </w:rPr>
        <w:t>广西六堡茶</w:t>
      </w:r>
      <w:r>
        <w:rPr>
          <w:rFonts w:hint="eastAsia" w:ascii="仿宋_GB2312" w:eastAsia="仿宋_GB2312"/>
          <w:sz w:val="28"/>
          <w:szCs w:val="28"/>
        </w:rPr>
        <w:t>的定义，直接引用</w:t>
      </w:r>
      <w:r>
        <w:rPr>
          <w:rFonts w:hint="eastAsia" w:ascii="仿宋_GB2312" w:eastAsia="仿宋_GB2312"/>
          <w:sz w:val="28"/>
          <w:szCs w:val="28"/>
          <w:lang w:eastAsia="zh-CN"/>
        </w:rPr>
        <w:t>T/GXAS xxx  地理标志农产品  广西六堡茶确定</w:t>
      </w:r>
      <w:r>
        <w:rPr>
          <w:rFonts w:hint="eastAsia" w:ascii="仿宋_GB2312" w:eastAsia="仿宋_GB2312"/>
          <w:sz w:val="28"/>
          <w:szCs w:val="28"/>
        </w:rPr>
        <w:t>；</w:t>
      </w:r>
      <w:r>
        <w:rPr>
          <w:rFonts w:hint="eastAsia" w:ascii="仿宋_GB2312" w:eastAsia="仿宋_GB2312"/>
          <w:b/>
          <w:bCs/>
          <w:sz w:val="28"/>
          <w:szCs w:val="28"/>
        </w:rPr>
        <w:t>园地选择与规划</w:t>
      </w:r>
      <w:r>
        <w:rPr>
          <w:rFonts w:hint="eastAsia" w:ascii="仿宋_GB2312" w:eastAsia="仿宋_GB2312"/>
          <w:sz w:val="28"/>
          <w:szCs w:val="28"/>
        </w:rPr>
        <w:t>主要依据NY/T 5018《茶叶生产技术规程》以及、NY/T 5010《无公害农产品  种植业产地环境条件》结合</w:t>
      </w:r>
      <w:r>
        <w:rPr>
          <w:rFonts w:hint="eastAsia" w:ascii="仿宋_GB2312" w:eastAsia="仿宋_GB2312"/>
          <w:sz w:val="28"/>
          <w:szCs w:val="28"/>
          <w:lang w:eastAsia="zh-CN"/>
        </w:rPr>
        <w:t>广西六堡茶</w:t>
      </w:r>
      <w:r>
        <w:rPr>
          <w:rFonts w:hint="eastAsia" w:ascii="仿宋_GB2312" w:eastAsia="仿宋_GB2312"/>
          <w:sz w:val="28"/>
          <w:szCs w:val="28"/>
        </w:rPr>
        <w:t>基地选择与规划的实际实验论证研讨确定。考虑到</w:t>
      </w:r>
      <w:r>
        <w:rPr>
          <w:rFonts w:hint="eastAsia" w:ascii="仿宋_GB2312" w:eastAsia="仿宋_GB2312"/>
          <w:sz w:val="28"/>
          <w:szCs w:val="28"/>
          <w:lang w:eastAsia="zh-CN"/>
        </w:rPr>
        <w:t>广西六堡茶</w:t>
      </w:r>
      <w:r>
        <w:rPr>
          <w:rFonts w:hint="eastAsia" w:ascii="仿宋_GB2312" w:eastAsia="仿宋_GB2312"/>
          <w:sz w:val="28"/>
          <w:szCs w:val="28"/>
        </w:rPr>
        <w:t>的种植一般在地势较陡的荒山、林地，跟一般的水肥一体化茶园有所不同，所以在规划上主要</w:t>
      </w:r>
      <w:r>
        <w:rPr>
          <w:rFonts w:hint="eastAsia" w:ascii="仿宋_GB2312" w:eastAsia="仿宋_GB2312"/>
          <w:color w:val="000000"/>
          <w:sz w:val="28"/>
          <w:szCs w:val="28"/>
        </w:rPr>
        <w:t>体</w:t>
      </w:r>
      <w:r>
        <w:rPr>
          <w:rFonts w:hint="eastAsia" w:ascii="仿宋_GB2312" w:eastAsia="仿宋_GB2312"/>
          <w:color w:val="000000"/>
          <w:sz w:val="28"/>
          <w:szCs w:val="28"/>
          <w:lang w:eastAsia="zh-CN"/>
        </w:rPr>
        <w:t>现</w:t>
      </w:r>
      <w:r>
        <w:rPr>
          <w:rFonts w:hint="eastAsia" w:ascii="仿宋_GB2312" w:eastAsia="仿宋_GB2312"/>
          <w:color w:val="000000"/>
          <w:sz w:val="28"/>
          <w:szCs w:val="28"/>
        </w:rPr>
        <w:t>小区</w:t>
      </w:r>
      <w:r>
        <w:rPr>
          <w:rFonts w:hint="eastAsia" w:ascii="仿宋_GB2312" w:eastAsia="仿宋_GB2312"/>
          <w:sz w:val="28"/>
          <w:szCs w:val="28"/>
        </w:rPr>
        <w:t>、道路系统的设置；而茶园开垦选择</w:t>
      </w:r>
      <w:r>
        <w:rPr>
          <w:rFonts w:hint="eastAsia" w:ascii="仿宋_GB2312" w:eastAsia="仿宋_GB2312"/>
          <w:sz w:val="28"/>
          <w:szCs w:val="28"/>
          <w:lang w:eastAsia="zh-CN"/>
        </w:rPr>
        <w:t>等高线</w:t>
      </w:r>
      <w:r>
        <w:rPr>
          <w:rFonts w:hint="eastAsia" w:ascii="仿宋_GB2312" w:eastAsia="仿宋_GB2312"/>
          <w:sz w:val="28"/>
          <w:szCs w:val="28"/>
        </w:rPr>
        <w:t>顺坡开垦带状茶园，是因为经过实践证明，在昭平，坡地茶园如果采取梯田式建设梯级茶园，在后期管护过程中，不但梯璧杂草疯长，还需要增加大量的除草人工，从而增大了种茶成本，</w:t>
      </w:r>
      <w:r>
        <w:rPr>
          <w:rFonts w:hint="eastAsia" w:ascii="仿宋_GB2312" w:eastAsia="仿宋_GB2312"/>
          <w:sz w:val="28"/>
          <w:szCs w:val="28"/>
          <w:lang w:eastAsia="zh-CN"/>
        </w:rPr>
        <w:t>而且</w:t>
      </w:r>
      <w:r>
        <w:rPr>
          <w:rFonts w:hint="eastAsia" w:ascii="仿宋_GB2312" w:eastAsia="仿宋_GB2312"/>
          <w:sz w:val="28"/>
          <w:szCs w:val="28"/>
        </w:rPr>
        <w:t>等高线顺坡种植的茶树生长快，密度大，不存在水土流失，</w:t>
      </w:r>
      <w:r>
        <w:rPr>
          <w:rFonts w:hint="eastAsia" w:ascii="仿宋_GB2312" w:eastAsia="仿宋_GB2312"/>
          <w:sz w:val="28"/>
          <w:szCs w:val="28"/>
          <w:lang w:eastAsia="zh-CN"/>
        </w:rPr>
        <w:t>对</w:t>
      </w:r>
      <w:r>
        <w:rPr>
          <w:rFonts w:hint="eastAsia" w:ascii="仿宋_GB2312" w:eastAsia="仿宋_GB2312"/>
          <w:sz w:val="28"/>
          <w:szCs w:val="28"/>
        </w:rPr>
        <w:t>土地利用率</w:t>
      </w:r>
      <w:r>
        <w:rPr>
          <w:rFonts w:hint="eastAsia" w:ascii="仿宋_GB2312" w:eastAsia="仿宋_GB2312"/>
          <w:sz w:val="28"/>
          <w:szCs w:val="28"/>
          <w:lang w:eastAsia="zh-CN"/>
        </w:rPr>
        <w:t>也</w:t>
      </w:r>
      <w:r>
        <w:rPr>
          <w:rFonts w:hint="eastAsia" w:ascii="仿宋_GB2312" w:eastAsia="仿宋_GB2312"/>
          <w:sz w:val="28"/>
          <w:szCs w:val="28"/>
        </w:rPr>
        <w:t>高，所以规定推广</w:t>
      </w:r>
      <w:r>
        <w:rPr>
          <w:rFonts w:hint="eastAsia" w:ascii="仿宋_GB2312" w:eastAsia="仿宋_GB2312"/>
          <w:sz w:val="28"/>
          <w:szCs w:val="28"/>
          <w:lang w:eastAsia="zh-CN"/>
        </w:rPr>
        <w:t>等高线</w:t>
      </w:r>
      <w:r>
        <w:rPr>
          <w:rFonts w:hint="eastAsia" w:ascii="仿宋_GB2312" w:eastAsia="仿宋_GB2312"/>
          <w:sz w:val="28"/>
          <w:szCs w:val="28"/>
        </w:rPr>
        <w:t>顺坡</w:t>
      </w:r>
      <w:r>
        <w:rPr>
          <w:rFonts w:hint="eastAsia" w:ascii="仿宋_GB2312" w:eastAsia="仿宋_GB2312"/>
          <w:sz w:val="28"/>
          <w:szCs w:val="28"/>
          <w:lang w:eastAsia="zh-CN"/>
        </w:rPr>
        <w:t>种植</w:t>
      </w:r>
      <w:r>
        <w:rPr>
          <w:rFonts w:hint="eastAsia" w:ascii="仿宋_GB2312" w:eastAsia="仿宋_GB2312"/>
          <w:sz w:val="28"/>
          <w:szCs w:val="28"/>
        </w:rPr>
        <w:t>；</w:t>
      </w:r>
      <w:r>
        <w:rPr>
          <w:rFonts w:hint="eastAsia" w:ascii="仿宋_GB2312" w:eastAsia="仿宋_GB2312"/>
          <w:b/>
          <w:bCs/>
          <w:sz w:val="28"/>
          <w:szCs w:val="28"/>
        </w:rPr>
        <w:t>茶树种植</w:t>
      </w:r>
      <w:r>
        <w:rPr>
          <w:rFonts w:hint="eastAsia" w:ascii="仿宋_GB2312" w:eastAsia="仿宋_GB2312"/>
          <w:sz w:val="28"/>
          <w:szCs w:val="28"/>
        </w:rPr>
        <w:t>主要依据结合</w:t>
      </w:r>
      <w:r>
        <w:rPr>
          <w:rFonts w:hint="eastAsia" w:ascii="仿宋_GB2312" w:eastAsia="仿宋_GB2312"/>
          <w:sz w:val="28"/>
          <w:szCs w:val="28"/>
          <w:lang w:eastAsia="zh-CN"/>
        </w:rPr>
        <w:t>广西六堡茶</w:t>
      </w:r>
      <w:r>
        <w:rPr>
          <w:rFonts w:hint="eastAsia" w:ascii="仿宋_GB2312" w:eastAsia="仿宋_GB2312"/>
          <w:sz w:val="28"/>
          <w:szCs w:val="28"/>
        </w:rPr>
        <w:t>种植的实际经验，实验论证研讨、考察确定。考虑到</w:t>
      </w:r>
      <w:r>
        <w:rPr>
          <w:rFonts w:hint="eastAsia" w:ascii="仿宋_GB2312" w:eastAsia="仿宋_GB2312"/>
          <w:sz w:val="28"/>
          <w:szCs w:val="28"/>
          <w:lang w:eastAsia="zh-CN"/>
        </w:rPr>
        <w:t>广西六堡茶</w:t>
      </w:r>
      <w:r>
        <w:rPr>
          <w:rFonts w:hint="eastAsia" w:ascii="仿宋_GB2312" w:eastAsia="仿宋_GB2312"/>
          <w:sz w:val="28"/>
          <w:szCs w:val="28"/>
        </w:rPr>
        <w:t>的品种有很多，但基本是当地群体种以及适宜制作</w:t>
      </w:r>
      <w:r>
        <w:rPr>
          <w:rFonts w:hint="eastAsia" w:ascii="仿宋_GB2312" w:eastAsia="仿宋_GB2312"/>
          <w:sz w:val="28"/>
          <w:szCs w:val="28"/>
          <w:lang w:eastAsia="zh-CN"/>
        </w:rPr>
        <w:t>广西六堡茶</w:t>
      </w:r>
      <w:r>
        <w:rPr>
          <w:rFonts w:hint="eastAsia" w:ascii="仿宋_GB2312" w:eastAsia="仿宋_GB2312"/>
          <w:sz w:val="28"/>
          <w:szCs w:val="28"/>
        </w:rPr>
        <w:t>的中、小叶类茶树品种，</w:t>
      </w:r>
      <w:r>
        <w:rPr>
          <w:rFonts w:hint="eastAsia" w:ascii="仿宋_GB2312" w:eastAsia="仿宋_GB2312"/>
          <w:color w:val="000000"/>
          <w:sz w:val="28"/>
          <w:szCs w:val="28"/>
        </w:rPr>
        <w:t>具体列举</w:t>
      </w:r>
      <w:r>
        <w:rPr>
          <w:rFonts w:hint="eastAsia" w:ascii="仿宋_GB2312" w:eastAsia="仿宋_GB2312"/>
          <w:color w:val="000000"/>
          <w:sz w:val="28"/>
          <w:szCs w:val="28"/>
          <w:lang w:eastAsia="zh-CN"/>
        </w:rPr>
        <w:t>品种的做法</w:t>
      </w:r>
      <w:r>
        <w:rPr>
          <w:rFonts w:hint="eastAsia" w:ascii="仿宋_GB2312" w:eastAsia="仿宋_GB2312"/>
          <w:color w:val="000000"/>
          <w:sz w:val="28"/>
          <w:szCs w:val="28"/>
        </w:rPr>
        <w:t>1是罗列不</w:t>
      </w:r>
      <w:r>
        <w:rPr>
          <w:rFonts w:hint="eastAsia" w:ascii="仿宋_GB2312" w:eastAsia="仿宋_GB2312"/>
          <w:sz w:val="28"/>
          <w:szCs w:val="28"/>
        </w:rPr>
        <w:t>完全，不利于标准技术的大范围推广，2是</w:t>
      </w:r>
      <w:r>
        <w:rPr>
          <w:rFonts w:hint="eastAsia" w:ascii="仿宋_GB2312" w:eastAsia="仿宋_GB2312"/>
          <w:sz w:val="28"/>
          <w:szCs w:val="28"/>
          <w:lang w:eastAsia="zh-CN"/>
        </w:rPr>
        <w:t>地理标志农产品</w:t>
      </w:r>
      <w:r>
        <w:rPr>
          <w:rFonts w:hint="eastAsia" w:ascii="仿宋_GB2312" w:eastAsia="仿宋_GB2312"/>
          <w:sz w:val="28"/>
          <w:szCs w:val="28"/>
        </w:rPr>
        <w:t>保护公告也是主要规定了当地群体种以及适宜制作</w:t>
      </w:r>
      <w:r>
        <w:rPr>
          <w:rFonts w:hint="eastAsia" w:ascii="仿宋_GB2312" w:eastAsia="仿宋_GB2312"/>
          <w:sz w:val="28"/>
          <w:szCs w:val="28"/>
          <w:lang w:eastAsia="zh-CN"/>
        </w:rPr>
        <w:t>广西六堡茶</w:t>
      </w:r>
      <w:r>
        <w:rPr>
          <w:rFonts w:hint="eastAsia" w:ascii="仿宋_GB2312" w:eastAsia="仿宋_GB2312"/>
          <w:sz w:val="28"/>
          <w:szCs w:val="28"/>
        </w:rPr>
        <w:t>的中、小叶类茶树品种等。而种植时间规</w:t>
      </w:r>
      <w:r>
        <w:rPr>
          <w:rFonts w:hint="eastAsia" w:ascii="仿宋_GB2312" w:eastAsia="仿宋_GB2312"/>
          <w:color w:val="000000"/>
          <w:sz w:val="28"/>
          <w:szCs w:val="28"/>
        </w:rPr>
        <w:t>定11月下旬至次年3月上旬。因</w:t>
      </w:r>
      <w:r>
        <w:rPr>
          <w:rFonts w:hint="eastAsia" w:ascii="仿宋_GB2312" w:eastAsia="仿宋_GB2312"/>
          <w:sz w:val="28"/>
          <w:szCs w:val="28"/>
        </w:rPr>
        <w:t>为从昭平县历年的天气气候以及种植情况看，三月中下旬以后种植的茶苗成活率比较低。种植规格与密度可采用双行单株或单行双株条栽方式种植，有利于提高成活率，</w:t>
      </w:r>
      <w:r>
        <w:rPr>
          <w:rFonts w:hint="eastAsia" w:ascii="仿宋_GB2312" w:eastAsia="仿宋_GB2312"/>
          <w:sz w:val="28"/>
          <w:szCs w:val="28"/>
          <w:lang w:eastAsia="zh-CN"/>
        </w:rPr>
        <w:t>缩短茶园形成的时间</w:t>
      </w:r>
      <w:r>
        <w:rPr>
          <w:rFonts w:hint="eastAsia" w:ascii="仿宋_GB2312" w:eastAsia="仿宋_GB2312"/>
          <w:sz w:val="28"/>
          <w:szCs w:val="28"/>
        </w:rPr>
        <w:t>；</w:t>
      </w:r>
      <w:r>
        <w:rPr>
          <w:rFonts w:hint="eastAsia" w:ascii="仿宋_GB2312" w:eastAsia="仿宋_GB2312"/>
          <w:b/>
          <w:bCs/>
          <w:sz w:val="28"/>
          <w:szCs w:val="28"/>
        </w:rPr>
        <w:t>茶园管理</w:t>
      </w:r>
      <w:r>
        <w:rPr>
          <w:rFonts w:hint="eastAsia" w:ascii="仿宋_GB2312" w:eastAsia="仿宋_GB2312"/>
          <w:sz w:val="28"/>
          <w:szCs w:val="28"/>
        </w:rPr>
        <w:t>主要包括土壤管理、水分管理、施肥管理、修剪及病虫草害的防治，主要依据</w:t>
      </w:r>
      <w:r>
        <w:rPr>
          <w:rFonts w:hint="eastAsia" w:ascii="仿宋_GB2312" w:eastAsia="仿宋_GB2312"/>
          <w:sz w:val="28"/>
          <w:szCs w:val="28"/>
          <w:lang w:eastAsia="zh-CN"/>
        </w:rPr>
        <w:t>广西六堡茶</w:t>
      </w:r>
      <w:r>
        <w:rPr>
          <w:rFonts w:hint="eastAsia" w:ascii="仿宋_GB2312" w:eastAsia="仿宋_GB2312"/>
          <w:sz w:val="28"/>
          <w:szCs w:val="28"/>
        </w:rPr>
        <w:t>茶园管理的实际及实验论证参照NY/T 5018《茶叶生产技术规程》、NY/T 496等标准要求研讨、考察确定。其中</w:t>
      </w:r>
      <w:r>
        <w:rPr>
          <w:rFonts w:hint="eastAsia" w:ascii="仿宋_GB2312" w:eastAsia="仿宋_GB2312"/>
          <w:b/>
          <w:bCs/>
          <w:sz w:val="28"/>
          <w:szCs w:val="28"/>
        </w:rPr>
        <w:t>土壤管理</w:t>
      </w:r>
      <w:r>
        <w:rPr>
          <w:rFonts w:hint="eastAsia" w:ascii="仿宋_GB2312" w:eastAsia="仿宋_GB2312"/>
          <w:sz w:val="28"/>
          <w:szCs w:val="28"/>
        </w:rPr>
        <w:t>主要突出松土与土壤pH值调节利于土壤保持可持续生产能力。</w:t>
      </w:r>
      <w:r>
        <w:rPr>
          <w:rFonts w:hint="eastAsia" w:ascii="仿宋_GB2312" w:eastAsia="仿宋_GB2312"/>
          <w:color w:val="000000"/>
          <w:sz w:val="28"/>
          <w:szCs w:val="28"/>
        </w:rPr>
        <w:t>由于茶叶需要的水分</w:t>
      </w:r>
      <w:r>
        <w:rPr>
          <w:rFonts w:hint="eastAsia" w:ascii="仿宋_GB2312" w:eastAsia="仿宋_GB2312"/>
          <w:color w:val="000000"/>
          <w:sz w:val="28"/>
          <w:szCs w:val="28"/>
          <w:lang w:eastAsia="zh-CN"/>
        </w:rPr>
        <w:t>不高</w:t>
      </w:r>
      <w:r>
        <w:rPr>
          <w:rFonts w:hint="eastAsia" w:ascii="仿宋_GB2312" w:eastAsia="仿宋_GB2312"/>
          <w:color w:val="000000"/>
          <w:sz w:val="28"/>
          <w:szCs w:val="28"/>
        </w:rPr>
        <w:t>，且昭</w:t>
      </w:r>
      <w:r>
        <w:rPr>
          <w:rFonts w:hint="eastAsia" w:ascii="仿宋_GB2312" w:eastAsia="仿宋_GB2312"/>
          <w:sz w:val="28"/>
          <w:szCs w:val="28"/>
        </w:rPr>
        <w:t>平雨水较多水分管理主要是规定注意及时排除园内积水。</w:t>
      </w:r>
      <w:r>
        <w:rPr>
          <w:rFonts w:hint="eastAsia" w:ascii="仿宋_GB2312" w:eastAsia="仿宋_GB2312"/>
          <w:b/>
          <w:bCs/>
          <w:sz w:val="28"/>
          <w:szCs w:val="28"/>
        </w:rPr>
        <w:t>施肥管理</w:t>
      </w:r>
      <w:r>
        <w:rPr>
          <w:rFonts w:hint="eastAsia" w:ascii="仿宋_GB2312" w:eastAsia="仿宋_GB2312"/>
          <w:sz w:val="28"/>
          <w:szCs w:val="28"/>
        </w:rPr>
        <w:t>是</w:t>
      </w:r>
      <w:r>
        <w:rPr>
          <w:rFonts w:hint="eastAsia" w:ascii="仿宋_GB2312" w:eastAsia="仿宋_GB2312"/>
          <w:sz w:val="28"/>
          <w:szCs w:val="28"/>
          <w:lang w:eastAsia="zh-CN"/>
        </w:rPr>
        <w:t>广西六堡茶</w:t>
      </w:r>
      <w:r>
        <w:rPr>
          <w:rFonts w:hint="eastAsia" w:ascii="仿宋_GB2312" w:eastAsia="仿宋_GB2312"/>
          <w:sz w:val="28"/>
          <w:szCs w:val="28"/>
        </w:rPr>
        <w:t>种植技术的重点，</w:t>
      </w:r>
      <w:r>
        <w:rPr>
          <w:rFonts w:hint="eastAsia" w:ascii="仿宋_GB2312" w:eastAsia="仿宋_GB2312"/>
          <w:b/>
          <w:bCs/>
          <w:sz w:val="28"/>
          <w:szCs w:val="28"/>
        </w:rPr>
        <w:t>幼龄茶园</w:t>
      </w:r>
      <w:r>
        <w:rPr>
          <w:rFonts w:hint="eastAsia" w:ascii="仿宋_GB2312" w:eastAsia="仿宋_GB2312"/>
          <w:sz w:val="28"/>
          <w:szCs w:val="28"/>
        </w:rPr>
        <w:t>主要是“以有机肥为主，化肥为辅，做到勤施薄施，分多次施用”的原则进行施肥，再通过结合追肥施用氮肥培养茶树根系。</w:t>
      </w:r>
      <w:r>
        <w:rPr>
          <w:rFonts w:hint="eastAsia" w:ascii="仿宋_GB2312" w:eastAsia="仿宋_GB2312"/>
          <w:b/>
          <w:bCs/>
          <w:sz w:val="28"/>
          <w:szCs w:val="28"/>
        </w:rPr>
        <w:t>成龄茶园</w:t>
      </w:r>
      <w:r>
        <w:rPr>
          <w:rFonts w:hint="eastAsia" w:ascii="仿宋_GB2312" w:eastAsia="仿宋_GB2312"/>
          <w:sz w:val="28"/>
          <w:szCs w:val="28"/>
        </w:rPr>
        <w:t>坚持“以有机肥（或有机复合肥）和施基肥为主，化肥为辅，做到早施、深施、足施。”的原则。因为茶树生长的好坏，茶叶产量品质的高低与施肥种类(有机和无机肥)数量密切相关。而有机肥是土壤肥力的基础，也是丰产的重要土壤条件。按照丰产技术要求宜多施质优、营养成分完全的有机肥或有机复合肥，这样茶树生长旺盛，产量高、品质好。相反，有机质含量低的茶园，茶叶香气低、味淡，不耐冲泡，很难生产出高档名优茶。因此，应坚持合理的科学的施肥方法,提高有机肥施用比例，促进有机与无机肥平衡，提高土壤有机质含量，以重施腐熟有机肥料为主，合理配施N、P、K肥。</w:t>
      </w:r>
      <w:r>
        <w:rPr>
          <w:rFonts w:hint="eastAsia" w:ascii="仿宋_GB2312" w:eastAsia="仿宋_GB2312"/>
          <w:b/>
          <w:bCs/>
          <w:sz w:val="28"/>
          <w:szCs w:val="28"/>
          <w:lang w:eastAsia="zh-CN"/>
        </w:rPr>
        <w:t>幼</w:t>
      </w:r>
      <w:r>
        <w:rPr>
          <w:rFonts w:hint="eastAsia" w:ascii="仿宋_GB2312" w:eastAsia="仿宋_GB2312"/>
          <w:b/>
          <w:bCs/>
          <w:sz w:val="28"/>
          <w:szCs w:val="28"/>
        </w:rPr>
        <w:t>龄茶园</w:t>
      </w:r>
      <w:r>
        <w:rPr>
          <w:rFonts w:hint="eastAsia" w:ascii="仿宋_GB2312" w:eastAsia="仿宋_GB2312"/>
          <w:sz w:val="28"/>
          <w:szCs w:val="28"/>
        </w:rPr>
        <w:t>冬施重肥（基肥）</w:t>
      </w:r>
      <w:r>
        <w:rPr>
          <w:rFonts w:hint="eastAsia" w:ascii="仿宋_GB2312" w:eastAsia="仿宋_GB2312"/>
          <w:sz w:val="28"/>
          <w:szCs w:val="28"/>
          <w:lang w:eastAsia="zh-CN"/>
        </w:rPr>
        <w:t>即</w:t>
      </w:r>
      <w:r>
        <w:rPr>
          <w:rFonts w:hint="eastAsia" w:ascii="仿宋_GB2312" w:eastAsia="仿宋_GB2312"/>
          <w:sz w:val="28"/>
          <w:szCs w:val="28"/>
        </w:rPr>
        <w:t>种植茶苗前，每667 m</w:t>
      </w:r>
      <w:r>
        <w:rPr>
          <w:rFonts w:hint="eastAsia" w:ascii="仿宋_GB2312" w:eastAsia="仿宋_GB2312"/>
          <w:sz w:val="28"/>
          <w:szCs w:val="28"/>
          <w:vertAlign w:val="superscript"/>
        </w:rPr>
        <w:t>2</w:t>
      </w:r>
      <w:r>
        <w:rPr>
          <w:rFonts w:hint="eastAsia" w:ascii="仿宋_GB2312" w:eastAsia="仿宋_GB2312"/>
          <w:sz w:val="28"/>
          <w:szCs w:val="28"/>
        </w:rPr>
        <w:t>施入菜籽饼（或花生麸）700kg～1000 kg，或经无害化处理后的腐熟猪粪、鸡粪有机肥1500 kg～2000kg＋过磷酸钙45kg～50kg＋硫酸钾型复合肥（15-15-15）45kg～50kg混合拌匀，距茶树干10 cm～20 cm开深20 cm～30 cm的点穴沟施入肥料后回土15 cm～25 cm。</w:t>
      </w:r>
      <w:r>
        <w:rPr>
          <w:rFonts w:hint="eastAsia" w:ascii="仿宋_GB2312" w:eastAsia="仿宋_GB2312"/>
          <w:b/>
          <w:bCs/>
          <w:sz w:val="28"/>
          <w:szCs w:val="28"/>
        </w:rPr>
        <w:t>成龄茶园</w:t>
      </w:r>
      <w:r>
        <w:rPr>
          <w:rFonts w:hint="eastAsia" w:ascii="仿宋_GB2312" w:eastAsia="仿宋_GB2312"/>
          <w:sz w:val="28"/>
          <w:szCs w:val="28"/>
        </w:rPr>
        <w:t>冬施重肥（基肥）在秋(冬)茶采摘结束后10 d内进行。于行间茶树滴水</w:t>
      </w:r>
      <w:r>
        <w:rPr>
          <w:rFonts w:hint="eastAsia" w:ascii="仿宋_GB2312" w:eastAsia="仿宋_GB2312"/>
          <w:sz w:val="28"/>
          <w:szCs w:val="28"/>
          <w:lang w:eastAsia="zh-CN"/>
        </w:rPr>
        <w:t>线</w:t>
      </w:r>
      <w:r>
        <w:rPr>
          <w:rFonts w:hint="eastAsia" w:ascii="仿宋_GB2312" w:eastAsia="仿宋_GB2312"/>
          <w:sz w:val="28"/>
          <w:szCs w:val="28"/>
        </w:rPr>
        <w:t>处开深25cm～35cm的施肥沟，每667</w:t>
      </w:r>
      <w:r>
        <w:rPr>
          <w:rFonts w:hint="eastAsia" w:ascii="仿宋_GB2312" w:eastAsia="仿宋_GB2312"/>
          <w:sz w:val="28"/>
          <w:szCs w:val="28"/>
          <w:lang w:val="en-US" w:eastAsia="zh-CN"/>
        </w:rPr>
        <w:t xml:space="preserve"> </w:t>
      </w:r>
      <w:r>
        <w:rPr>
          <w:rFonts w:hint="eastAsia" w:ascii="仿宋_GB2312" w:eastAsia="仿宋_GB2312"/>
          <w:sz w:val="28"/>
          <w:szCs w:val="28"/>
        </w:rPr>
        <w:t>m</w:t>
      </w:r>
      <w:r>
        <w:rPr>
          <w:rFonts w:hint="eastAsia" w:ascii="仿宋_GB2312" w:eastAsia="仿宋_GB2312"/>
          <w:sz w:val="28"/>
          <w:szCs w:val="28"/>
          <w:vertAlign w:val="superscript"/>
        </w:rPr>
        <w:t>2</w:t>
      </w:r>
      <w:r>
        <w:rPr>
          <w:rFonts w:hint="eastAsia" w:ascii="仿宋_GB2312" w:eastAsia="仿宋_GB2312"/>
          <w:sz w:val="28"/>
          <w:szCs w:val="28"/>
        </w:rPr>
        <w:t>施入菜籽饼（或花生麸）</w:t>
      </w:r>
      <w:r>
        <w:rPr>
          <w:rFonts w:hint="eastAsia" w:ascii="仿宋_GB2312" w:eastAsia="仿宋_GB2312"/>
          <w:sz w:val="28"/>
          <w:szCs w:val="28"/>
          <w:lang w:val="en-US" w:eastAsia="zh-CN"/>
        </w:rPr>
        <w:t>45</w:t>
      </w:r>
      <w:r>
        <w:rPr>
          <w:rFonts w:hint="eastAsia" w:ascii="仿宋_GB2312" w:eastAsia="仿宋_GB2312"/>
          <w:sz w:val="28"/>
          <w:szCs w:val="28"/>
        </w:rPr>
        <w:t>0kg～</w:t>
      </w:r>
      <w:r>
        <w:rPr>
          <w:rFonts w:hint="eastAsia" w:ascii="仿宋_GB2312" w:eastAsia="仿宋_GB2312"/>
          <w:sz w:val="28"/>
          <w:szCs w:val="28"/>
          <w:lang w:val="en-US" w:eastAsia="zh-CN"/>
        </w:rPr>
        <w:t>5</w:t>
      </w:r>
      <w:r>
        <w:rPr>
          <w:rFonts w:hint="eastAsia" w:ascii="仿宋_GB2312" w:eastAsia="仿宋_GB2312"/>
          <w:sz w:val="28"/>
          <w:szCs w:val="28"/>
        </w:rPr>
        <w:t>00kg</w:t>
      </w:r>
      <w:r>
        <w:rPr>
          <w:rFonts w:hint="eastAsia" w:ascii="仿宋_GB2312" w:eastAsia="仿宋_GB2312"/>
          <w:sz w:val="28"/>
          <w:szCs w:val="28"/>
          <w:lang w:eastAsia="zh-CN"/>
        </w:rPr>
        <w:t>，</w:t>
      </w:r>
      <w:r>
        <w:rPr>
          <w:rFonts w:hint="eastAsia" w:ascii="仿宋_GB2312" w:eastAsia="仿宋_GB2312"/>
          <w:sz w:val="28"/>
          <w:szCs w:val="28"/>
        </w:rPr>
        <w:t>或有机复合肥60kg～75kg，或经无害化处理后的腐熟猪粪、鸡粪有机肥</w:t>
      </w:r>
      <w:r>
        <w:rPr>
          <w:rFonts w:hint="eastAsia" w:ascii="仿宋_GB2312" w:eastAsia="仿宋_GB2312"/>
          <w:sz w:val="28"/>
          <w:szCs w:val="28"/>
          <w:lang w:val="en-US" w:eastAsia="zh-CN"/>
        </w:rPr>
        <w:t>8</w:t>
      </w:r>
      <w:r>
        <w:rPr>
          <w:rFonts w:hint="eastAsia" w:ascii="仿宋_GB2312" w:eastAsia="仿宋_GB2312"/>
          <w:sz w:val="28"/>
          <w:szCs w:val="28"/>
        </w:rPr>
        <w:t>00kg～</w:t>
      </w:r>
      <w:r>
        <w:rPr>
          <w:rFonts w:hint="eastAsia" w:ascii="仿宋_GB2312" w:eastAsia="仿宋_GB2312"/>
          <w:sz w:val="28"/>
          <w:szCs w:val="28"/>
          <w:lang w:val="en-US" w:eastAsia="zh-CN"/>
        </w:rPr>
        <w:t>1 2</w:t>
      </w:r>
      <w:r>
        <w:rPr>
          <w:rFonts w:hint="eastAsia" w:ascii="仿宋_GB2312" w:eastAsia="仿宋_GB2312"/>
          <w:sz w:val="28"/>
          <w:szCs w:val="28"/>
        </w:rPr>
        <w:t>00kg＋过磷酸钙</w:t>
      </w:r>
      <w:r>
        <w:rPr>
          <w:rFonts w:hint="eastAsia" w:ascii="仿宋_GB2312" w:eastAsia="仿宋_GB2312"/>
          <w:sz w:val="28"/>
          <w:szCs w:val="28"/>
          <w:lang w:val="en-US" w:eastAsia="zh-CN"/>
        </w:rPr>
        <w:t>20</w:t>
      </w:r>
      <w:r>
        <w:rPr>
          <w:rFonts w:hint="eastAsia" w:ascii="仿宋_GB2312" w:eastAsia="仿宋_GB2312"/>
          <w:sz w:val="28"/>
          <w:szCs w:val="28"/>
        </w:rPr>
        <w:t xml:space="preserve"> kg～</w:t>
      </w:r>
      <w:r>
        <w:rPr>
          <w:rFonts w:hint="eastAsia" w:ascii="仿宋_GB2312" w:eastAsia="仿宋_GB2312"/>
          <w:sz w:val="28"/>
          <w:szCs w:val="28"/>
          <w:lang w:val="en-US" w:eastAsia="zh-CN"/>
        </w:rPr>
        <w:t xml:space="preserve">25 </w:t>
      </w:r>
      <w:r>
        <w:rPr>
          <w:rFonts w:hint="eastAsia" w:ascii="仿宋_GB2312" w:eastAsia="仿宋_GB2312"/>
          <w:sz w:val="28"/>
          <w:szCs w:val="28"/>
        </w:rPr>
        <w:t>kg＋硫酸钾型复合肥（15-15-15）</w:t>
      </w:r>
      <w:r>
        <w:rPr>
          <w:rFonts w:hint="eastAsia" w:ascii="仿宋_GB2312" w:eastAsia="仿宋_GB2312"/>
          <w:sz w:val="28"/>
          <w:szCs w:val="28"/>
          <w:lang w:val="en-US" w:eastAsia="zh-CN"/>
        </w:rPr>
        <w:t>2</w:t>
      </w:r>
      <w:r>
        <w:rPr>
          <w:rFonts w:hint="eastAsia" w:ascii="仿宋_GB2312" w:eastAsia="仿宋_GB2312"/>
          <w:sz w:val="28"/>
          <w:szCs w:val="28"/>
        </w:rPr>
        <w:t>0 kg～25 kg混合拌匀</w:t>
      </w:r>
      <w:r>
        <w:rPr>
          <w:rFonts w:hint="eastAsia" w:ascii="仿宋_GB2312" w:eastAsia="仿宋_GB2312"/>
          <w:sz w:val="28"/>
          <w:szCs w:val="28"/>
          <w:lang w:eastAsia="zh-CN"/>
        </w:rPr>
        <w:t>，</w:t>
      </w:r>
      <w:r>
        <w:rPr>
          <w:rFonts w:hint="eastAsia" w:ascii="仿宋_GB2312" w:eastAsia="仿宋_GB2312"/>
          <w:sz w:val="28"/>
          <w:szCs w:val="28"/>
        </w:rPr>
        <w:t>沟施盖土</w:t>
      </w:r>
      <w:r>
        <w:rPr>
          <w:rFonts w:hint="eastAsia" w:ascii="仿宋_GB2312" w:eastAsia="仿宋_GB2312"/>
          <w:sz w:val="28"/>
          <w:szCs w:val="28"/>
          <w:lang w:eastAsia="zh-CN"/>
        </w:rPr>
        <w:t>，</w:t>
      </w:r>
      <w:r>
        <w:rPr>
          <w:rFonts w:hint="eastAsia" w:ascii="仿宋_GB2312" w:eastAsia="仿宋_GB2312"/>
          <w:sz w:val="28"/>
          <w:szCs w:val="28"/>
        </w:rPr>
        <w:t>根据茶树生长情况可配合施入氮肥，混合拌匀后开深沟施下盖土，施肥时间在秋茶刚结束的10</w:t>
      </w:r>
      <w:r>
        <w:rPr>
          <w:rFonts w:ascii="Times New Roman" w:hAnsi="Times New Roman" w:eastAsia="仿宋_GB2312"/>
          <w:sz w:val="28"/>
          <w:szCs w:val="28"/>
        </w:rPr>
        <w:t>~</w:t>
      </w:r>
      <w:r>
        <w:rPr>
          <w:rFonts w:hint="eastAsia" w:ascii="仿宋_GB2312" w:eastAsia="仿宋_GB2312"/>
          <w:sz w:val="28"/>
          <w:szCs w:val="28"/>
        </w:rPr>
        <w:t>11月份前最好。因为茶树从10月至第二年2月份，茶树地上部在停止生长期</w:t>
      </w:r>
      <w:r>
        <w:rPr>
          <w:rFonts w:hint="eastAsia" w:ascii="仿宋_GB2312" w:eastAsia="仿宋_GB2312"/>
          <w:sz w:val="28"/>
          <w:szCs w:val="28"/>
          <w:highlight w:val="none"/>
        </w:rPr>
        <w:t>内所吸收的</w:t>
      </w:r>
      <w:r>
        <w:rPr>
          <w:rFonts w:hint="eastAsia" w:ascii="仿宋_GB2312" w:eastAsia="仿宋_GB2312"/>
          <w:sz w:val="28"/>
          <w:szCs w:val="28"/>
          <w:highlight w:val="none"/>
          <w:lang w:eastAsia="zh-CN"/>
        </w:rPr>
        <w:t>养分</w:t>
      </w:r>
      <w:r>
        <w:rPr>
          <w:rFonts w:hint="eastAsia" w:ascii="仿宋_GB2312" w:eastAsia="仿宋_GB2312"/>
          <w:sz w:val="28"/>
          <w:szCs w:val="28"/>
          <w:highlight w:val="none"/>
        </w:rPr>
        <w:t>约占全年吸收总量的30</w:t>
      </w:r>
      <w:r>
        <w:rPr>
          <w:rFonts w:hint="eastAsia" w:ascii="宋体" w:hAnsi="宋体" w:cs="宋体"/>
          <w:sz w:val="28"/>
          <w:szCs w:val="28"/>
          <w:highlight w:val="none"/>
        </w:rPr>
        <w:t>％</w:t>
      </w:r>
      <w:r>
        <w:rPr>
          <w:rFonts w:hint="eastAsia" w:ascii="仿宋_GB2312" w:eastAsia="仿宋_GB2312"/>
          <w:sz w:val="28"/>
          <w:szCs w:val="28"/>
          <w:highlight w:val="none"/>
        </w:rPr>
        <w:t>，这些</w:t>
      </w:r>
      <w:r>
        <w:rPr>
          <w:rFonts w:hint="eastAsia" w:ascii="仿宋_GB2312" w:eastAsia="仿宋_GB2312"/>
          <w:sz w:val="28"/>
          <w:szCs w:val="28"/>
          <w:highlight w:val="none"/>
          <w:lang w:eastAsia="zh-CN"/>
        </w:rPr>
        <w:t>养分</w:t>
      </w:r>
      <w:r>
        <w:rPr>
          <w:rFonts w:hint="eastAsia" w:ascii="仿宋_GB2312" w:eastAsia="仿宋_GB2312"/>
          <w:sz w:val="28"/>
          <w:szCs w:val="28"/>
          <w:highlight w:val="none"/>
        </w:rPr>
        <w:t>是春茶萌发和生长的物质</w:t>
      </w:r>
      <w:r>
        <w:rPr>
          <w:rFonts w:hint="eastAsia" w:ascii="仿宋_GB2312" w:eastAsia="仿宋_GB2312"/>
          <w:sz w:val="28"/>
          <w:szCs w:val="28"/>
        </w:rPr>
        <w:t>基础，对春茶早发、丰产、优质有决定性意义。而早施的肥料在雨水的作用下分解加快，春茶萌发前即可吸收利用，有利提高春茶产量和品质，而施晚了让茶树“饿肚子”过冬，对生产无益处，应以重视。肥料春茶用不上，到夏茶才能利用，不利于春茶品质的提高，所以必须做到“早、深、足”三个字。追肥也一样，各茶季施肥要掌握施肥时期及占全年用量比例(春茶50</w:t>
      </w:r>
      <w:r>
        <w:rPr>
          <w:rFonts w:hint="eastAsia" w:ascii="宋体" w:hAnsi="宋体" w:cs="宋体"/>
          <w:sz w:val="28"/>
          <w:szCs w:val="28"/>
        </w:rPr>
        <w:t>％</w:t>
      </w:r>
      <w:r>
        <w:rPr>
          <w:rFonts w:hint="eastAsia" w:ascii="仿宋_GB2312" w:eastAsia="仿宋_GB2312"/>
          <w:sz w:val="28"/>
          <w:szCs w:val="28"/>
        </w:rPr>
        <w:t>、夏茶30</w:t>
      </w:r>
      <w:r>
        <w:rPr>
          <w:rFonts w:hint="eastAsia" w:ascii="宋体" w:hAnsi="宋体" w:cs="宋体"/>
          <w:sz w:val="28"/>
          <w:szCs w:val="28"/>
        </w:rPr>
        <w:t>％</w:t>
      </w:r>
      <w:r>
        <w:rPr>
          <w:rFonts w:hint="eastAsia" w:ascii="仿宋_GB2312" w:eastAsia="仿宋_GB2312"/>
          <w:sz w:val="28"/>
          <w:szCs w:val="28"/>
        </w:rPr>
        <w:t>、秋茶20</w:t>
      </w:r>
      <w:r>
        <w:rPr>
          <w:rFonts w:hint="eastAsia" w:ascii="宋体" w:hAnsi="宋体" w:cs="宋体"/>
          <w:sz w:val="28"/>
          <w:szCs w:val="28"/>
        </w:rPr>
        <w:t>％</w:t>
      </w:r>
      <w:r>
        <w:rPr>
          <w:rFonts w:hint="eastAsia" w:ascii="仿宋_GB2312" w:eastAsia="仿宋_GB2312"/>
          <w:sz w:val="28"/>
          <w:szCs w:val="28"/>
        </w:rPr>
        <w:t>) ，围绕春、夏、秋三季茶芽萌发前15</w:t>
      </w:r>
      <w:r>
        <w:rPr>
          <w:rFonts w:ascii="Times New Roman" w:hAnsi="Times New Roman" w:eastAsia="仿宋_GB2312"/>
          <w:sz w:val="28"/>
          <w:szCs w:val="28"/>
        </w:rPr>
        <w:t>~</w:t>
      </w:r>
      <w:r>
        <w:rPr>
          <w:rFonts w:hint="eastAsia" w:ascii="仿宋_GB2312" w:eastAsia="仿宋_GB2312"/>
          <w:sz w:val="28"/>
          <w:szCs w:val="28"/>
        </w:rPr>
        <w:t>30天施下，追肥提早到2月上旬。每年在2月上旬、5月上旬、8月上旬每667m</w:t>
      </w:r>
      <w:r>
        <w:rPr>
          <w:rFonts w:hint="eastAsia" w:ascii="仿宋_GB2312" w:eastAsia="仿宋_GB2312"/>
          <w:sz w:val="28"/>
          <w:szCs w:val="28"/>
          <w:vertAlign w:val="superscript"/>
        </w:rPr>
        <w:t>2</w:t>
      </w:r>
      <w:r>
        <w:rPr>
          <w:rFonts w:hint="eastAsia" w:ascii="仿宋_GB2312" w:eastAsia="仿宋_GB2312"/>
          <w:sz w:val="28"/>
          <w:szCs w:val="28"/>
        </w:rPr>
        <w:t>施硫酸钾型复合肥（15-15-15）分别为40kg～50kg、25kg～30kg、15kg～20kg,</w:t>
      </w:r>
      <w:r>
        <w:rPr>
          <w:rFonts w:hint="eastAsia" w:ascii="仿宋_GB2312" w:eastAsia="仿宋_GB2312"/>
          <w:sz w:val="28"/>
          <w:szCs w:val="28"/>
          <w:lang w:eastAsia="zh-CN"/>
        </w:rPr>
        <w:t>或</w:t>
      </w:r>
      <w:r>
        <w:rPr>
          <w:rFonts w:hint="eastAsia" w:ascii="仿宋_GB2312" w:eastAsia="仿宋_GB2312"/>
          <w:sz w:val="28"/>
          <w:szCs w:val="28"/>
        </w:rPr>
        <w:t>每667m</w:t>
      </w:r>
      <w:r>
        <w:rPr>
          <w:rFonts w:hint="eastAsia" w:ascii="仿宋_GB2312" w:eastAsia="仿宋_GB2312"/>
          <w:sz w:val="28"/>
          <w:szCs w:val="28"/>
          <w:vertAlign w:val="superscript"/>
        </w:rPr>
        <w:t>2</w:t>
      </w:r>
      <w:r>
        <w:rPr>
          <w:rFonts w:hint="eastAsia" w:ascii="仿宋_GB2312" w:eastAsia="仿宋_GB2312"/>
          <w:sz w:val="28"/>
          <w:szCs w:val="28"/>
        </w:rPr>
        <w:t>施尿素14 kg～16 kg</w:t>
      </w:r>
      <w:r>
        <w:rPr>
          <w:rFonts w:hint="eastAsia" w:ascii="仿宋_GB2312" w:eastAsia="仿宋_GB2312"/>
          <w:sz w:val="28"/>
          <w:szCs w:val="28"/>
          <w:lang w:eastAsia="zh-CN"/>
        </w:rPr>
        <w:t>，</w:t>
      </w:r>
      <w:r>
        <w:rPr>
          <w:rFonts w:hint="eastAsia" w:ascii="仿宋_GB2312" w:eastAsia="仿宋_GB2312"/>
          <w:sz w:val="28"/>
          <w:szCs w:val="28"/>
        </w:rPr>
        <w:t>开沟深25 cm～35cm,将肥施下盖土。产量较高的茶园在夏茶期间加施一次速效氮肥或茶树专用肥，可增加产量。实施了平衡基肥和追肥的比例，不论是基肥或追肥，适当早施比晚施作用大，使茶树吸肥保持连续性。施好肥，增加用量，特别是宜多施有机质肥，可提高土壤肥力，促进茶树吸收，提早发芽，不但可以提高春茶产量，对产品质量的提高，特别是香气、滋味的影响最明显。</w:t>
      </w:r>
      <w:r>
        <w:rPr>
          <w:rFonts w:hint="eastAsia" w:ascii="仿宋_GB2312" w:eastAsia="仿宋_GB2312"/>
          <w:b/>
          <w:bCs/>
          <w:sz w:val="28"/>
          <w:szCs w:val="28"/>
        </w:rPr>
        <w:t>衰老茶园</w:t>
      </w:r>
      <w:r>
        <w:rPr>
          <w:rFonts w:hint="eastAsia" w:ascii="仿宋_GB2312" w:eastAsia="仿宋_GB2312"/>
          <w:sz w:val="28"/>
          <w:szCs w:val="28"/>
        </w:rPr>
        <w:t>要求结合修剪施肥回复茶树树势，采用台刈的要多施用有机肥，培养树冠。</w:t>
      </w:r>
      <w:r>
        <w:rPr>
          <w:rFonts w:hint="eastAsia" w:ascii="仿宋_GB2312" w:eastAsia="仿宋_GB2312"/>
          <w:b/>
          <w:bCs/>
          <w:sz w:val="28"/>
          <w:szCs w:val="28"/>
        </w:rPr>
        <w:t>修剪</w:t>
      </w:r>
      <w:r>
        <w:rPr>
          <w:rFonts w:hint="eastAsia" w:ascii="仿宋_GB2312" w:eastAsia="仿宋_GB2312"/>
          <w:sz w:val="28"/>
          <w:szCs w:val="28"/>
        </w:rPr>
        <w:t>主要依据</w:t>
      </w:r>
      <w:r>
        <w:rPr>
          <w:rFonts w:hint="eastAsia" w:ascii="仿宋_GB2312" w:eastAsia="仿宋_GB2312"/>
          <w:sz w:val="28"/>
          <w:szCs w:val="28"/>
          <w:lang w:eastAsia="zh-CN"/>
        </w:rPr>
        <w:t>广西六堡茶</w:t>
      </w:r>
      <w:r>
        <w:rPr>
          <w:rFonts w:hint="eastAsia" w:ascii="仿宋_GB2312" w:eastAsia="仿宋_GB2312"/>
          <w:sz w:val="28"/>
          <w:szCs w:val="28"/>
        </w:rPr>
        <w:t>修剪的实际确定，其中的幼龄茶园主要是培养树冠骨架，成龄茶园的边行修剪主要是通过修剪利于田间作业和通风透光，减少病虫害发生；</w:t>
      </w:r>
      <w:r>
        <w:rPr>
          <w:rFonts w:hint="eastAsia" w:ascii="仿宋_GB2312" w:eastAsia="仿宋_GB2312"/>
          <w:b/>
          <w:bCs/>
          <w:sz w:val="28"/>
          <w:szCs w:val="28"/>
        </w:rPr>
        <w:t>病、虫、草害的防治</w:t>
      </w:r>
      <w:r>
        <w:rPr>
          <w:rFonts w:hint="eastAsia" w:ascii="仿宋_GB2312" w:eastAsia="仿宋_GB2312"/>
          <w:sz w:val="28"/>
          <w:szCs w:val="28"/>
        </w:rPr>
        <w:t>主要依据</w:t>
      </w:r>
      <w:r>
        <w:rPr>
          <w:rFonts w:hint="eastAsia" w:ascii="仿宋_GB2312" w:eastAsia="仿宋_GB2312"/>
          <w:sz w:val="28"/>
          <w:szCs w:val="28"/>
          <w:lang w:eastAsia="zh-CN"/>
        </w:rPr>
        <w:t>广西六堡茶</w:t>
      </w:r>
      <w:r>
        <w:rPr>
          <w:rFonts w:hint="eastAsia" w:ascii="仿宋_GB2312" w:eastAsia="仿宋_GB2312"/>
          <w:sz w:val="28"/>
          <w:szCs w:val="28"/>
        </w:rPr>
        <w:t>主要病虫害的防治特点以及现今生态茶园的要求，以农业防治、物理防治生物防治为主，这也是昭平能获得全国茶叶生态最适宜区、全国生态农业示范县、广西名优绿茶优势区、广西无公害茶叶示范县等称号的原因。因为如果做好农业防治（生态调控）、物理防治（理化诱控）、生物防治这几项工作，</w:t>
      </w:r>
      <w:r>
        <w:rPr>
          <w:rFonts w:hint="eastAsia" w:ascii="仿宋_GB2312" w:eastAsia="仿宋_GB2312"/>
          <w:sz w:val="28"/>
          <w:szCs w:val="28"/>
          <w:lang w:eastAsia="zh-CN"/>
        </w:rPr>
        <w:t>广西六堡茶</w:t>
      </w:r>
      <w:r>
        <w:rPr>
          <w:rFonts w:hint="eastAsia" w:ascii="仿宋_GB2312" w:eastAsia="仿宋_GB2312"/>
          <w:sz w:val="28"/>
          <w:szCs w:val="28"/>
        </w:rPr>
        <w:t>的病虫草害就可以得到很好很有效的控制。化学防治可参照DB45/T 1243《茶树主要病虫害绿色防控技术规程》的规定执行，这是我们广西壮族自治区植保总站</w:t>
      </w:r>
      <w:r>
        <w:rPr>
          <w:rFonts w:hint="eastAsia" w:ascii="仿宋_GB2312" w:eastAsia="仿宋_GB2312"/>
          <w:sz w:val="28"/>
          <w:szCs w:val="28"/>
          <w:lang w:eastAsia="zh-CN"/>
        </w:rPr>
        <w:t>根据区内茶叶生产的主要病虫害</w:t>
      </w:r>
      <w:r>
        <w:rPr>
          <w:rFonts w:hint="eastAsia" w:ascii="仿宋_GB2312" w:eastAsia="仿宋_GB2312"/>
          <w:sz w:val="28"/>
          <w:szCs w:val="28"/>
        </w:rPr>
        <w:t>绿色防控起草的标准，里面也涵盖了我区茶树上主要发生的病虫害种类及</w:t>
      </w:r>
      <w:r>
        <w:rPr>
          <w:rFonts w:hint="eastAsia" w:ascii="仿宋_GB2312" w:eastAsia="仿宋_GB2312"/>
          <w:sz w:val="28"/>
          <w:szCs w:val="28"/>
          <w:lang w:eastAsia="zh-CN"/>
        </w:rPr>
        <w:t>化学</w:t>
      </w:r>
      <w:r>
        <w:rPr>
          <w:rFonts w:hint="eastAsia" w:ascii="仿宋_GB2312" w:eastAsia="仿宋_GB2312"/>
          <w:sz w:val="28"/>
          <w:szCs w:val="28"/>
        </w:rPr>
        <w:t>防治方法。</w:t>
      </w:r>
      <w:r>
        <w:rPr>
          <w:rFonts w:hint="eastAsia" w:ascii="仿宋_GB2312" w:hAnsi="宋体" w:eastAsia="仿宋_GB2312"/>
          <w:b/>
          <w:bCs/>
          <w:sz w:val="28"/>
          <w:szCs w:val="28"/>
        </w:rPr>
        <w:t>鲜叶采摘及运输</w:t>
      </w:r>
      <w:r>
        <w:rPr>
          <w:rFonts w:hint="eastAsia" w:ascii="仿宋_GB2312" w:eastAsia="仿宋_GB2312"/>
          <w:sz w:val="28"/>
          <w:szCs w:val="28"/>
        </w:rPr>
        <w:t>主要依据</w:t>
      </w:r>
      <w:bookmarkStart w:id="3" w:name="_GoBack"/>
      <w:bookmarkEnd w:id="3"/>
      <w:r>
        <w:rPr>
          <w:rFonts w:hint="eastAsia" w:ascii="仿宋_GB2312" w:eastAsia="仿宋_GB2312"/>
          <w:sz w:val="28"/>
          <w:szCs w:val="28"/>
          <w:lang w:eastAsia="zh-CN"/>
        </w:rPr>
        <w:t>广西六堡茶地理标志农产品</w:t>
      </w:r>
      <w:r>
        <w:rPr>
          <w:rFonts w:hint="eastAsia" w:ascii="仿宋_GB2312" w:eastAsia="仿宋_GB2312"/>
          <w:sz w:val="28"/>
          <w:szCs w:val="28"/>
        </w:rPr>
        <w:t>保护公告结合</w:t>
      </w:r>
      <w:r>
        <w:rPr>
          <w:rFonts w:hint="eastAsia" w:ascii="仿宋_GB2312" w:eastAsia="仿宋_GB2312"/>
          <w:sz w:val="28"/>
          <w:szCs w:val="28"/>
          <w:lang w:eastAsia="zh-CN"/>
        </w:rPr>
        <w:t>广西六堡茶</w:t>
      </w:r>
      <w:r>
        <w:rPr>
          <w:rFonts w:hint="eastAsia" w:ascii="仿宋_GB2312" w:eastAsia="仿宋_GB2312"/>
          <w:sz w:val="28"/>
          <w:szCs w:val="28"/>
        </w:rPr>
        <w:t>采摘与加工的实际考察确定。</w:t>
      </w:r>
    </w:p>
    <w:p>
      <w:pPr>
        <w:ind w:firstLine="640" w:firstLineChars="200"/>
        <w:rPr>
          <w:rFonts w:hAnsi="黑体" w:cs="仿宋_GB2312"/>
          <w:sz w:val="32"/>
          <w:szCs w:val="32"/>
        </w:rPr>
      </w:pPr>
      <w:r>
        <w:rPr>
          <w:rFonts w:hint="eastAsia" w:hAnsi="黑体" w:cs="仿宋_GB2312"/>
          <w:sz w:val="32"/>
          <w:szCs w:val="32"/>
        </w:rPr>
        <w:t>六、国内同类标准制修订情况及与法律法规、强制性标准关系</w:t>
      </w:r>
    </w:p>
    <w:p>
      <w:pPr>
        <w:ind w:firstLine="560" w:firstLineChars="200"/>
        <w:rPr>
          <w:rFonts w:ascii="仿宋_GB2312" w:hAnsi="宋体" w:eastAsia="仿宋_GB2312"/>
          <w:sz w:val="28"/>
          <w:szCs w:val="28"/>
        </w:rPr>
      </w:pPr>
      <w:r>
        <w:rPr>
          <w:rFonts w:hint="eastAsia" w:ascii="仿宋_GB2312" w:hAnsi="宋体" w:eastAsia="仿宋_GB2312"/>
          <w:sz w:val="28"/>
          <w:szCs w:val="28"/>
        </w:rPr>
        <w:t>经查阅，目前国内与地理标志农产品广西六堡茶</w:t>
      </w:r>
      <w:r>
        <w:rPr>
          <w:rFonts w:hint="eastAsia" w:ascii="仿宋_GB2312" w:hAnsi="宋体" w:eastAsia="仿宋_GB2312"/>
          <w:sz w:val="28"/>
          <w:szCs w:val="28"/>
          <w:lang w:eastAsia="zh-CN"/>
        </w:rPr>
        <w:t>栽培</w:t>
      </w:r>
      <w:r>
        <w:rPr>
          <w:rFonts w:hint="eastAsia" w:ascii="仿宋_GB2312" w:hAnsi="宋体" w:eastAsia="仿宋_GB2312"/>
          <w:sz w:val="28"/>
          <w:szCs w:val="28"/>
        </w:rPr>
        <w:t>技术相关的标准有：NY/T 5019  《无公害食品 茶叶</w:t>
      </w:r>
      <w:r>
        <w:rPr>
          <w:rFonts w:hint="eastAsia" w:ascii="仿宋_GB2312" w:hAnsi="宋体" w:eastAsia="仿宋_GB2312"/>
          <w:sz w:val="28"/>
          <w:szCs w:val="28"/>
          <w:lang w:eastAsia="zh-CN"/>
        </w:rPr>
        <w:t>栽培</w:t>
      </w:r>
      <w:r>
        <w:rPr>
          <w:rFonts w:hint="eastAsia" w:ascii="仿宋_GB2312" w:hAnsi="宋体" w:eastAsia="仿宋_GB2312"/>
          <w:sz w:val="28"/>
          <w:szCs w:val="28"/>
        </w:rPr>
        <w:t>技术规程》、GB/Z 26576  《茶叶生产技术规范》、NY/T 5018 《茶叶生产技术规程》、DB45/T 435  《六堡茶生产技术规程》，但这些标准都不是针对</w:t>
      </w:r>
      <w:r>
        <w:rPr>
          <w:rFonts w:hint="eastAsia" w:ascii="仿宋_GB2312" w:hAnsi="宋体" w:eastAsia="仿宋_GB2312"/>
          <w:sz w:val="28"/>
          <w:szCs w:val="28"/>
          <w:lang w:eastAsia="zh-CN"/>
        </w:rPr>
        <w:t>地理标志农产品广西六堡茶</w:t>
      </w:r>
      <w:r>
        <w:rPr>
          <w:rFonts w:hint="eastAsia" w:ascii="仿宋_GB2312" w:hAnsi="宋体" w:eastAsia="仿宋_GB2312"/>
          <w:sz w:val="28"/>
          <w:szCs w:val="28"/>
        </w:rPr>
        <w:t>的种植做出的要求，都没能体现昭平茶在基地选择与规划、茶树种植尤其在茶园管理、鲜叶采摘与加工等过程的技术要求；不能完全反映地理标志农产品广西六堡茶当前的种植生产、经营和监管需求</w:t>
      </w:r>
      <w:r>
        <w:rPr>
          <w:rFonts w:hint="eastAsia" w:ascii="仿宋_GB2312" w:hAnsi="宋体" w:eastAsia="仿宋_GB2312"/>
          <w:sz w:val="28"/>
          <w:szCs w:val="28"/>
          <w:lang w:eastAsia="zh-CN"/>
        </w:rPr>
        <w:t>，</w:t>
      </w:r>
      <w:r>
        <w:rPr>
          <w:rFonts w:hint="eastAsia" w:ascii="仿宋_GB2312" w:hAnsi="宋体" w:eastAsia="仿宋_GB2312"/>
          <w:sz w:val="28"/>
          <w:szCs w:val="28"/>
        </w:rPr>
        <w:t>不能准确指导广西六堡茶的</w:t>
      </w:r>
      <w:r>
        <w:rPr>
          <w:rFonts w:hint="eastAsia" w:ascii="仿宋_GB2312" w:hAnsi="宋体" w:eastAsia="仿宋_GB2312"/>
          <w:sz w:val="28"/>
          <w:szCs w:val="28"/>
          <w:lang w:eastAsia="zh-CN"/>
        </w:rPr>
        <w:t>栽培</w:t>
      </w:r>
      <w:r>
        <w:rPr>
          <w:rFonts w:hint="eastAsia" w:ascii="仿宋_GB2312" w:hAnsi="宋体" w:eastAsia="仿宋_GB2312"/>
          <w:sz w:val="28"/>
          <w:szCs w:val="28"/>
        </w:rPr>
        <w:t>生产。</w:t>
      </w:r>
    </w:p>
    <w:p>
      <w:pPr>
        <w:autoSpaceDE w:val="0"/>
        <w:autoSpaceDN w:val="0"/>
        <w:adjustRightInd w:val="0"/>
        <w:ind w:firstLine="640" w:firstLineChars="200"/>
        <w:jc w:val="left"/>
        <w:rPr>
          <w:rFonts w:ascii="黑体" w:hAnsi="黑体" w:eastAsia="黑体" w:cs="仿宋_GB2312"/>
          <w:sz w:val="32"/>
          <w:szCs w:val="32"/>
        </w:rPr>
      </w:pPr>
      <w:bookmarkStart w:id="2" w:name="_Toc526940086"/>
      <w:r>
        <w:rPr>
          <w:rFonts w:hint="eastAsia" w:ascii="黑体" w:hAnsi="黑体" w:eastAsia="黑体" w:cs="仿宋_GB2312"/>
          <w:sz w:val="32"/>
          <w:szCs w:val="32"/>
        </w:rPr>
        <w:t>七、</w:t>
      </w:r>
      <w:bookmarkEnd w:id="2"/>
      <w:r>
        <w:rPr>
          <w:rFonts w:hint="eastAsia" w:ascii="黑体" w:hAnsi="黑体" w:eastAsia="黑体" w:cs="仿宋_GB2312"/>
          <w:sz w:val="32"/>
          <w:szCs w:val="32"/>
        </w:rPr>
        <w:t>重大分歧意见的处理经过和依据</w:t>
      </w:r>
    </w:p>
    <w:p>
      <w:pPr>
        <w:spacing w:line="52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本标准研制过程中无重大分歧意见。</w:t>
      </w:r>
    </w:p>
    <w:p>
      <w:pPr>
        <w:autoSpaceDE w:val="0"/>
        <w:autoSpaceDN w:val="0"/>
        <w:adjustRightInd w:val="0"/>
        <w:ind w:firstLine="640" w:firstLineChars="200"/>
        <w:jc w:val="left"/>
        <w:rPr>
          <w:rFonts w:hint="eastAsia" w:ascii="黑体" w:hAnsi="黑体" w:eastAsia="黑体" w:cs="仿宋_GB2312"/>
          <w:sz w:val="32"/>
          <w:szCs w:val="32"/>
        </w:rPr>
      </w:pPr>
      <w:r>
        <w:rPr>
          <w:rFonts w:hint="eastAsia" w:ascii="黑体" w:hAnsi="黑体" w:eastAsia="黑体" w:cs="仿宋_GB2312"/>
          <w:sz w:val="32"/>
          <w:szCs w:val="32"/>
          <w:lang w:eastAsia="zh-CN"/>
        </w:rPr>
        <w:t>八</w:t>
      </w:r>
      <w:r>
        <w:rPr>
          <w:rFonts w:hint="eastAsia" w:ascii="黑体" w:hAnsi="黑体" w:eastAsia="黑体" w:cs="仿宋_GB2312"/>
          <w:sz w:val="32"/>
          <w:szCs w:val="32"/>
        </w:rPr>
        <w:t>、自我承诺</w:t>
      </w:r>
    </w:p>
    <w:p>
      <w:pPr>
        <w:spacing w:line="520" w:lineRule="exact"/>
        <w:ind w:firstLine="560" w:firstLineChars="200"/>
        <w:rPr>
          <w:rFonts w:hint="eastAsia" w:ascii="仿宋_GB2312" w:hAnsi="宋体" w:eastAsia="仿宋_GB2312"/>
          <w:sz w:val="28"/>
          <w:szCs w:val="28"/>
          <w:lang w:eastAsia="zh-CN"/>
        </w:rPr>
      </w:pPr>
      <w:r>
        <w:rPr>
          <w:rFonts w:hint="eastAsia" w:ascii="仿宋_GB2312" w:hAnsi="宋体" w:eastAsia="仿宋_GB2312"/>
          <w:sz w:val="28"/>
          <w:szCs w:val="28"/>
        </w:rPr>
        <w:t>承诺标准内容和各项指标不低于国家强制性标准。也没存在内容或某项指标低于推荐性国家标准的情况</w:t>
      </w:r>
      <w:r>
        <w:rPr>
          <w:rFonts w:hint="eastAsia" w:ascii="仿宋_GB2312" w:hAnsi="宋体" w:eastAsia="仿宋_GB2312"/>
          <w:sz w:val="28"/>
          <w:szCs w:val="28"/>
          <w:lang w:eastAsia="zh-CN"/>
        </w:rPr>
        <w:t>。</w:t>
      </w:r>
    </w:p>
    <w:p>
      <w:pPr>
        <w:spacing w:line="520" w:lineRule="exact"/>
        <w:rPr>
          <w:rFonts w:ascii="仿宋_GB2312" w:hAnsi="仿宋" w:eastAsia="仿宋_GB2312"/>
          <w:bCs/>
          <w:color w:val="000000"/>
          <w:sz w:val="32"/>
          <w:szCs w:val="32"/>
        </w:rPr>
      </w:pPr>
    </w:p>
    <w:p>
      <w:pPr>
        <w:spacing w:line="520" w:lineRule="exact"/>
        <w:rPr>
          <w:rFonts w:ascii="仿宋_GB2312" w:hAnsi="仿宋" w:eastAsia="仿宋_GB2312"/>
          <w:bCs/>
          <w:color w:val="000000"/>
          <w:sz w:val="32"/>
          <w:szCs w:val="32"/>
        </w:rPr>
      </w:pPr>
    </w:p>
    <w:p>
      <w:pPr>
        <w:spacing w:line="520" w:lineRule="exact"/>
        <w:ind w:firstLine="1280" w:firstLineChars="400"/>
        <w:rPr>
          <w:rFonts w:ascii="仿宋_GB2312" w:hAnsi="仿宋_GB2312" w:eastAsia="仿宋_GB2312" w:cs="仿宋_GB2312"/>
          <w:sz w:val="32"/>
          <w:szCs w:val="32"/>
        </w:rPr>
      </w:pPr>
      <w:r>
        <w:rPr>
          <w:rFonts w:hint="eastAsia" w:ascii="仿宋_GB2312" w:hAnsi="仿宋_GB2312" w:eastAsia="仿宋_GB2312" w:cs="仿宋_GB2312"/>
          <w:sz w:val="32"/>
          <w:szCs w:val="32"/>
        </w:rPr>
        <w:t>团体标准《地理标志农产品广西六堡茶</w:t>
      </w:r>
      <w:r>
        <w:rPr>
          <w:rFonts w:hint="eastAsia" w:ascii="仿宋_GB2312" w:hAnsi="仿宋_GB2312" w:eastAsia="仿宋_GB2312" w:cs="仿宋_GB2312"/>
          <w:sz w:val="32"/>
          <w:szCs w:val="32"/>
          <w:lang w:eastAsia="zh-CN"/>
        </w:rPr>
        <w:t>栽培</w:t>
      </w:r>
      <w:r>
        <w:rPr>
          <w:rFonts w:hint="eastAsia" w:ascii="仿宋_GB2312" w:hAnsi="仿宋_GB2312" w:eastAsia="仿宋_GB2312" w:cs="仿宋_GB2312"/>
          <w:sz w:val="32"/>
          <w:szCs w:val="32"/>
        </w:rPr>
        <w:t>技术规程》</w:t>
      </w:r>
    </w:p>
    <w:p>
      <w:pPr>
        <w:spacing w:line="520" w:lineRule="exact"/>
        <w:ind w:right="112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标准编制工作组</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2021年9月</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日</w:t>
      </w:r>
    </w:p>
    <w:sectPr>
      <w:footerReference r:id="rId3" w:type="default"/>
      <w:pgSz w:w="11906" w:h="16838"/>
      <w:pgMar w:top="1474"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F73E57"/>
    <w:multiLevelType w:val="singleLevel"/>
    <w:tmpl w:val="BCF73E57"/>
    <w:lvl w:ilvl="0" w:tentative="0">
      <w:start w:val="5"/>
      <w:numFmt w:val="chineseCounting"/>
      <w:suff w:val="nothing"/>
      <w:lvlText w:val="%1、"/>
      <w:lvlJc w:val="left"/>
      <w:rPr>
        <w:rFonts w:hint="eastAsia"/>
      </w:rPr>
    </w:lvl>
  </w:abstractNum>
  <w:abstractNum w:abstractNumId="1">
    <w:nsid w:val="079102AD"/>
    <w:multiLevelType w:val="multilevel"/>
    <w:tmpl w:val="079102AD"/>
    <w:lvl w:ilvl="0" w:tentative="0">
      <w:start w:val="1"/>
      <w:numFmt w:val="decimal"/>
      <w:pStyle w:val="1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DDE2B46"/>
    <w:multiLevelType w:val="multilevel"/>
    <w:tmpl w:val="0DDE2B46"/>
    <w:lvl w:ilvl="0" w:tentative="0">
      <w:start w:val="1"/>
      <w:numFmt w:val="lowerLetter"/>
      <w:pStyle w:val="23"/>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3">
    <w:nsid w:val="1DBF583A"/>
    <w:multiLevelType w:val="multilevel"/>
    <w:tmpl w:val="1DBF583A"/>
    <w:lvl w:ilvl="0" w:tentative="0">
      <w:start w:val="1"/>
      <w:numFmt w:val="decimal"/>
      <w:pStyle w:val="2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1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3"/>
      <w:suff w:val="nothing"/>
      <w:lvlText w:val="%1.%2　"/>
      <w:lvlJc w:val="left"/>
      <w:pPr>
        <w:ind w:left="525"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5"/>
      <w:suff w:val="nothing"/>
      <w:lvlText w:val="%1.%2.%3　"/>
      <w:lvlJc w:val="left"/>
      <w:pPr>
        <w:ind w:left="0" w:firstLine="0"/>
      </w:pPr>
      <w:rPr>
        <w:rFonts w:hint="eastAsia" w:ascii="黑体" w:hAnsi="Times New Roman" w:eastAsia="黑体"/>
        <w:b w:val="0"/>
        <w:i w:val="0"/>
        <w:sz w:val="21"/>
      </w:rPr>
    </w:lvl>
    <w:lvl w:ilvl="3" w:tentative="0">
      <w:start w:val="1"/>
      <w:numFmt w:val="decimal"/>
      <w:pStyle w:val="16"/>
      <w:suff w:val="nothing"/>
      <w:lvlText w:val="%1.%2.%3.%4　"/>
      <w:lvlJc w:val="left"/>
      <w:pPr>
        <w:ind w:left="0" w:firstLine="0"/>
      </w:pPr>
      <w:rPr>
        <w:rFonts w:hint="eastAsia" w:ascii="黑体" w:hAnsi="Times New Roman" w:eastAsia="黑体"/>
        <w:b w:val="0"/>
        <w:i w:val="0"/>
        <w:sz w:val="21"/>
      </w:rPr>
    </w:lvl>
    <w:lvl w:ilvl="4" w:tentative="0">
      <w:start w:val="1"/>
      <w:numFmt w:val="decimal"/>
      <w:pStyle w:val="17"/>
      <w:suff w:val="nothing"/>
      <w:lvlText w:val="%1.%2.%3.%4.%5　"/>
      <w:lvlJc w:val="left"/>
      <w:pPr>
        <w:ind w:left="0" w:firstLine="0"/>
      </w:pPr>
      <w:rPr>
        <w:rFonts w:hint="eastAsia" w:ascii="黑体" w:hAnsi="Times New Roman" w:eastAsia="黑体"/>
        <w:b w:val="0"/>
        <w:i w:val="0"/>
        <w:sz w:val="21"/>
      </w:rPr>
    </w:lvl>
    <w:lvl w:ilvl="5" w:tentative="0">
      <w:start w:val="1"/>
      <w:numFmt w:val="decimal"/>
      <w:pStyle w:val="1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20"/>
      <w:suff w:val="space"/>
      <w:lvlText w:val="%1"/>
      <w:lvlJc w:val="left"/>
      <w:pPr>
        <w:ind w:left="623" w:hanging="425"/>
      </w:pPr>
      <w:rPr>
        <w:rFonts w:hint="eastAsia"/>
      </w:rPr>
    </w:lvl>
    <w:lvl w:ilvl="1" w:tentative="0">
      <w:start w:val="1"/>
      <w:numFmt w:val="decimal"/>
      <w:pStyle w:val="2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557C2AF5"/>
    <w:multiLevelType w:val="multilevel"/>
    <w:tmpl w:val="557C2AF5"/>
    <w:lvl w:ilvl="0" w:tentative="0">
      <w:start w:val="1"/>
      <w:numFmt w:val="decimal"/>
      <w:pStyle w:val="1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8">
    <w:nsid w:val="646260FA"/>
    <w:multiLevelType w:val="multilevel"/>
    <w:tmpl w:val="646260FA"/>
    <w:lvl w:ilvl="0" w:tentative="0">
      <w:start w:val="1"/>
      <w:numFmt w:val="decimal"/>
      <w:pStyle w:val="1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8"/>
  </w:num>
  <w:num w:numId="2">
    <w:abstractNumId w:val="6"/>
  </w:num>
  <w:num w:numId="3">
    <w:abstractNumId w:val="4"/>
  </w:num>
  <w:num w:numId="4">
    <w:abstractNumId w:val="1"/>
  </w:num>
  <w:num w:numId="5">
    <w:abstractNumId w:val="5"/>
  </w:num>
  <w:num w:numId="6">
    <w:abstractNumId w:val="3"/>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3090"/>
    <w:rsid w:val="00016837"/>
    <w:rsid w:val="00021331"/>
    <w:rsid w:val="00024212"/>
    <w:rsid w:val="00024664"/>
    <w:rsid w:val="00033257"/>
    <w:rsid w:val="00034233"/>
    <w:rsid w:val="00034BDB"/>
    <w:rsid w:val="000576D0"/>
    <w:rsid w:val="00057758"/>
    <w:rsid w:val="0007330D"/>
    <w:rsid w:val="00073F72"/>
    <w:rsid w:val="00076BBA"/>
    <w:rsid w:val="00080F2F"/>
    <w:rsid w:val="0009177A"/>
    <w:rsid w:val="00093E74"/>
    <w:rsid w:val="000962F6"/>
    <w:rsid w:val="000A0201"/>
    <w:rsid w:val="000A4601"/>
    <w:rsid w:val="000A77CD"/>
    <w:rsid w:val="000D0ACE"/>
    <w:rsid w:val="000D15BE"/>
    <w:rsid w:val="000D5AC8"/>
    <w:rsid w:val="000D6612"/>
    <w:rsid w:val="000D751C"/>
    <w:rsid w:val="000D7F33"/>
    <w:rsid w:val="000F10EB"/>
    <w:rsid w:val="000F3365"/>
    <w:rsid w:val="000F517A"/>
    <w:rsid w:val="00101D2E"/>
    <w:rsid w:val="00103B83"/>
    <w:rsid w:val="00105252"/>
    <w:rsid w:val="00106661"/>
    <w:rsid w:val="00110864"/>
    <w:rsid w:val="00110F43"/>
    <w:rsid w:val="00112415"/>
    <w:rsid w:val="00114946"/>
    <w:rsid w:val="00126CA6"/>
    <w:rsid w:val="001273E7"/>
    <w:rsid w:val="00127EB0"/>
    <w:rsid w:val="00131B03"/>
    <w:rsid w:val="00133786"/>
    <w:rsid w:val="00134DD4"/>
    <w:rsid w:val="0015152A"/>
    <w:rsid w:val="00156663"/>
    <w:rsid w:val="001611BB"/>
    <w:rsid w:val="00183467"/>
    <w:rsid w:val="00190A64"/>
    <w:rsid w:val="001923CF"/>
    <w:rsid w:val="001925FD"/>
    <w:rsid w:val="00194FE3"/>
    <w:rsid w:val="00196054"/>
    <w:rsid w:val="0019711F"/>
    <w:rsid w:val="001A0DBF"/>
    <w:rsid w:val="001A3402"/>
    <w:rsid w:val="001B36E5"/>
    <w:rsid w:val="001B3B17"/>
    <w:rsid w:val="001C5F01"/>
    <w:rsid w:val="001C793C"/>
    <w:rsid w:val="001D22F0"/>
    <w:rsid w:val="001D64DB"/>
    <w:rsid w:val="001D7816"/>
    <w:rsid w:val="001E5000"/>
    <w:rsid w:val="001F07A8"/>
    <w:rsid w:val="001F241E"/>
    <w:rsid w:val="001F660A"/>
    <w:rsid w:val="00205603"/>
    <w:rsid w:val="002116FB"/>
    <w:rsid w:val="00214221"/>
    <w:rsid w:val="002223DD"/>
    <w:rsid w:val="002231E8"/>
    <w:rsid w:val="00223EB7"/>
    <w:rsid w:val="00231E62"/>
    <w:rsid w:val="00232769"/>
    <w:rsid w:val="00244ADA"/>
    <w:rsid w:val="002465C7"/>
    <w:rsid w:val="00254F7A"/>
    <w:rsid w:val="00256FE0"/>
    <w:rsid w:val="002621E1"/>
    <w:rsid w:val="00262753"/>
    <w:rsid w:val="00262771"/>
    <w:rsid w:val="00264A7D"/>
    <w:rsid w:val="00264CE4"/>
    <w:rsid w:val="00283085"/>
    <w:rsid w:val="0029084D"/>
    <w:rsid w:val="00291EF3"/>
    <w:rsid w:val="002A4D06"/>
    <w:rsid w:val="002B07E3"/>
    <w:rsid w:val="002B2E35"/>
    <w:rsid w:val="002C4FFB"/>
    <w:rsid w:val="002C5534"/>
    <w:rsid w:val="002C611B"/>
    <w:rsid w:val="002C73B6"/>
    <w:rsid w:val="002D6D1E"/>
    <w:rsid w:val="002E073F"/>
    <w:rsid w:val="002E7A35"/>
    <w:rsid w:val="002F34AA"/>
    <w:rsid w:val="002F4D7B"/>
    <w:rsid w:val="002F513F"/>
    <w:rsid w:val="002F613B"/>
    <w:rsid w:val="003025DF"/>
    <w:rsid w:val="00303E23"/>
    <w:rsid w:val="00306925"/>
    <w:rsid w:val="003144B8"/>
    <w:rsid w:val="0033375C"/>
    <w:rsid w:val="0034090F"/>
    <w:rsid w:val="00343C24"/>
    <w:rsid w:val="00345BCC"/>
    <w:rsid w:val="00353735"/>
    <w:rsid w:val="00357A1D"/>
    <w:rsid w:val="00357E18"/>
    <w:rsid w:val="0036001E"/>
    <w:rsid w:val="00362F10"/>
    <w:rsid w:val="00373BAD"/>
    <w:rsid w:val="00382AB2"/>
    <w:rsid w:val="00392E22"/>
    <w:rsid w:val="003B5050"/>
    <w:rsid w:val="003C2D44"/>
    <w:rsid w:val="003C483D"/>
    <w:rsid w:val="003D5CB5"/>
    <w:rsid w:val="003E330B"/>
    <w:rsid w:val="003E4A86"/>
    <w:rsid w:val="003F284D"/>
    <w:rsid w:val="003F28D0"/>
    <w:rsid w:val="003F3119"/>
    <w:rsid w:val="003F392A"/>
    <w:rsid w:val="003F3AAC"/>
    <w:rsid w:val="003F727B"/>
    <w:rsid w:val="0040035D"/>
    <w:rsid w:val="00404BD1"/>
    <w:rsid w:val="0040610D"/>
    <w:rsid w:val="00406A80"/>
    <w:rsid w:val="0042062E"/>
    <w:rsid w:val="00424AF1"/>
    <w:rsid w:val="00424FCB"/>
    <w:rsid w:val="00425860"/>
    <w:rsid w:val="00434E46"/>
    <w:rsid w:val="00434F90"/>
    <w:rsid w:val="004378E4"/>
    <w:rsid w:val="0044118D"/>
    <w:rsid w:val="004441BD"/>
    <w:rsid w:val="004503F4"/>
    <w:rsid w:val="00455661"/>
    <w:rsid w:val="0046025A"/>
    <w:rsid w:val="00460359"/>
    <w:rsid w:val="004605D8"/>
    <w:rsid w:val="004626AF"/>
    <w:rsid w:val="00465230"/>
    <w:rsid w:val="00467DEF"/>
    <w:rsid w:val="004805D0"/>
    <w:rsid w:val="00480BA1"/>
    <w:rsid w:val="0048357F"/>
    <w:rsid w:val="00484EF3"/>
    <w:rsid w:val="00485212"/>
    <w:rsid w:val="004865C9"/>
    <w:rsid w:val="0049011A"/>
    <w:rsid w:val="00491FE3"/>
    <w:rsid w:val="0049390C"/>
    <w:rsid w:val="004A25C4"/>
    <w:rsid w:val="004A614E"/>
    <w:rsid w:val="004A660C"/>
    <w:rsid w:val="004A76AB"/>
    <w:rsid w:val="004B2E7F"/>
    <w:rsid w:val="004C4136"/>
    <w:rsid w:val="004D5B22"/>
    <w:rsid w:val="004F0593"/>
    <w:rsid w:val="004F48C2"/>
    <w:rsid w:val="004F74F0"/>
    <w:rsid w:val="004F7FA9"/>
    <w:rsid w:val="00505469"/>
    <w:rsid w:val="0051028F"/>
    <w:rsid w:val="0051148B"/>
    <w:rsid w:val="00514C97"/>
    <w:rsid w:val="005159F5"/>
    <w:rsid w:val="00526200"/>
    <w:rsid w:val="005269CF"/>
    <w:rsid w:val="00535AC6"/>
    <w:rsid w:val="00537550"/>
    <w:rsid w:val="005639F8"/>
    <w:rsid w:val="005656AA"/>
    <w:rsid w:val="005742DB"/>
    <w:rsid w:val="00577C08"/>
    <w:rsid w:val="005802BD"/>
    <w:rsid w:val="0058151C"/>
    <w:rsid w:val="00581CE7"/>
    <w:rsid w:val="005870E5"/>
    <w:rsid w:val="005873D6"/>
    <w:rsid w:val="00596702"/>
    <w:rsid w:val="005A1A17"/>
    <w:rsid w:val="005A4523"/>
    <w:rsid w:val="005A4707"/>
    <w:rsid w:val="005B0CDC"/>
    <w:rsid w:val="005B23F7"/>
    <w:rsid w:val="005B7B7E"/>
    <w:rsid w:val="005D06D6"/>
    <w:rsid w:val="005D1EE1"/>
    <w:rsid w:val="005D2AEE"/>
    <w:rsid w:val="005D3F96"/>
    <w:rsid w:val="005D5DDF"/>
    <w:rsid w:val="005D6A5C"/>
    <w:rsid w:val="005E05D4"/>
    <w:rsid w:val="005E207A"/>
    <w:rsid w:val="005E2143"/>
    <w:rsid w:val="005F0995"/>
    <w:rsid w:val="005F1E35"/>
    <w:rsid w:val="005F36D9"/>
    <w:rsid w:val="005F6C71"/>
    <w:rsid w:val="005F71EC"/>
    <w:rsid w:val="006062AE"/>
    <w:rsid w:val="0060656D"/>
    <w:rsid w:val="00606B5A"/>
    <w:rsid w:val="00610884"/>
    <w:rsid w:val="0062702A"/>
    <w:rsid w:val="006404F1"/>
    <w:rsid w:val="0064449B"/>
    <w:rsid w:val="006467C4"/>
    <w:rsid w:val="00651C9C"/>
    <w:rsid w:val="00654D8C"/>
    <w:rsid w:val="006555D8"/>
    <w:rsid w:val="006610FC"/>
    <w:rsid w:val="006670DB"/>
    <w:rsid w:val="00667C57"/>
    <w:rsid w:val="00680EEB"/>
    <w:rsid w:val="006811BF"/>
    <w:rsid w:val="00682D7C"/>
    <w:rsid w:val="00682FAD"/>
    <w:rsid w:val="0068494D"/>
    <w:rsid w:val="006945D3"/>
    <w:rsid w:val="006A1BD7"/>
    <w:rsid w:val="006A3112"/>
    <w:rsid w:val="006B1080"/>
    <w:rsid w:val="006C0CC1"/>
    <w:rsid w:val="006C6B87"/>
    <w:rsid w:val="006C70ED"/>
    <w:rsid w:val="006D4CCC"/>
    <w:rsid w:val="006D5D5F"/>
    <w:rsid w:val="006E155C"/>
    <w:rsid w:val="006F77F7"/>
    <w:rsid w:val="00700D32"/>
    <w:rsid w:val="0070138D"/>
    <w:rsid w:val="0070266E"/>
    <w:rsid w:val="00705429"/>
    <w:rsid w:val="0070730B"/>
    <w:rsid w:val="00712BC5"/>
    <w:rsid w:val="00715CA4"/>
    <w:rsid w:val="00716EAC"/>
    <w:rsid w:val="00720395"/>
    <w:rsid w:val="0072448B"/>
    <w:rsid w:val="00726016"/>
    <w:rsid w:val="0075401E"/>
    <w:rsid w:val="00755471"/>
    <w:rsid w:val="007556A8"/>
    <w:rsid w:val="00760DDA"/>
    <w:rsid w:val="00776FE6"/>
    <w:rsid w:val="007812EA"/>
    <w:rsid w:val="00781F1A"/>
    <w:rsid w:val="00782C84"/>
    <w:rsid w:val="00784D8F"/>
    <w:rsid w:val="007912E9"/>
    <w:rsid w:val="007923BD"/>
    <w:rsid w:val="00793820"/>
    <w:rsid w:val="00797654"/>
    <w:rsid w:val="007A022B"/>
    <w:rsid w:val="007A1A73"/>
    <w:rsid w:val="007A36E9"/>
    <w:rsid w:val="007A5B26"/>
    <w:rsid w:val="007A710B"/>
    <w:rsid w:val="007B4614"/>
    <w:rsid w:val="007B7812"/>
    <w:rsid w:val="007C4C1F"/>
    <w:rsid w:val="007D4356"/>
    <w:rsid w:val="007D520B"/>
    <w:rsid w:val="007D5225"/>
    <w:rsid w:val="007D6192"/>
    <w:rsid w:val="007D646F"/>
    <w:rsid w:val="007E0035"/>
    <w:rsid w:val="007F05BA"/>
    <w:rsid w:val="007F17C2"/>
    <w:rsid w:val="007F3051"/>
    <w:rsid w:val="007F445F"/>
    <w:rsid w:val="007F69C4"/>
    <w:rsid w:val="00805B1A"/>
    <w:rsid w:val="00812666"/>
    <w:rsid w:val="00825BEF"/>
    <w:rsid w:val="008275DE"/>
    <w:rsid w:val="0083025F"/>
    <w:rsid w:val="00831A4E"/>
    <w:rsid w:val="00834F29"/>
    <w:rsid w:val="00843099"/>
    <w:rsid w:val="00844A63"/>
    <w:rsid w:val="0085555C"/>
    <w:rsid w:val="00860076"/>
    <w:rsid w:val="00864B42"/>
    <w:rsid w:val="00864EDC"/>
    <w:rsid w:val="008766A7"/>
    <w:rsid w:val="0088023F"/>
    <w:rsid w:val="008853E8"/>
    <w:rsid w:val="00890B67"/>
    <w:rsid w:val="00893361"/>
    <w:rsid w:val="00893CE3"/>
    <w:rsid w:val="0089684C"/>
    <w:rsid w:val="008A42EB"/>
    <w:rsid w:val="008A4E58"/>
    <w:rsid w:val="008A5709"/>
    <w:rsid w:val="008B1A6F"/>
    <w:rsid w:val="008B7C56"/>
    <w:rsid w:val="008C1BE0"/>
    <w:rsid w:val="008D1502"/>
    <w:rsid w:val="008D2E6B"/>
    <w:rsid w:val="008D3059"/>
    <w:rsid w:val="008D44E2"/>
    <w:rsid w:val="008D5C1F"/>
    <w:rsid w:val="008E0C90"/>
    <w:rsid w:val="008F024A"/>
    <w:rsid w:val="00900B1D"/>
    <w:rsid w:val="00910D7C"/>
    <w:rsid w:val="00911CE5"/>
    <w:rsid w:val="0091490C"/>
    <w:rsid w:val="009204DB"/>
    <w:rsid w:val="0092128F"/>
    <w:rsid w:val="009220D3"/>
    <w:rsid w:val="009226F2"/>
    <w:rsid w:val="00926314"/>
    <w:rsid w:val="00930317"/>
    <w:rsid w:val="00933333"/>
    <w:rsid w:val="00936A0A"/>
    <w:rsid w:val="0094724D"/>
    <w:rsid w:val="00954E13"/>
    <w:rsid w:val="0096452B"/>
    <w:rsid w:val="00975377"/>
    <w:rsid w:val="00981308"/>
    <w:rsid w:val="00983CDC"/>
    <w:rsid w:val="00983E62"/>
    <w:rsid w:val="00984743"/>
    <w:rsid w:val="00987A4E"/>
    <w:rsid w:val="0099188F"/>
    <w:rsid w:val="00995822"/>
    <w:rsid w:val="00997A44"/>
    <w:rsid w:val="009A7254"/>
    <w:rsid w:val="009B2BF4"/>
    <w:rsid w:val="009B52A3"/>
    <w:rsid w:val="009B53BA"/>
    <w:rsid w:val="009B609B"/>
    <w:rsid w:val="009B6F4E"/>
    <w:rsid w:val="009B6FA5"/>
    <w:rsid w:val="009B74CD"/>
    <w:rsid w:val="009D38DB"/>
    <w:rsid w:val="009D3D0A"/>
    <w:rsid w:val="009E1F06"/>
    <w:rsid w:val="009E5DEF"/>
    <w:rsid w:val="009E6B6B"/>
    <w:rsid w:val="009F79E3"/>
    <w:rsid w:val="00A04E49"/>
    <w:rsid w:val="00A10236"/>
    <w:rsid w:val="00A10B7E"/>
    <w:rsid w:val="00A11E9D"/>
    <w:rsid w:val="00A25268"/>
    <w:rsid w:val="00A34924"/>
    <w:rsid w:val="00A35F3F"/>
    <w:rsid w:val="00A40234"/>
    <w:rsid w:val="00A4496C"/>
    <w:rsid w:val="00A51BDA"/>
    <w:rsid w:val="00A52FED"/>
    <w:rsid w:val="00A547EA"/>
    <w:rsid w:val="00A54EE3"/>
    <w:rsid w:val="00A60040"/>
    <w:rsid w:val="00A64033"/>
    <w:rsid w:val="00A66230"/>
    <w:rsid w:val="00A66B33"/>
    <w:rsid w:val="00A7226B"/>
    <w:rsid w:val="00A80E57"/>
    <w:rsid w:val="00A928C5"/>
    <w:rsid w:val="00A955A3"/>
    <w:rsid w:val="00A958C2"/>
    <w:rsid w:val="00A95C9E"/>
    <w:rsid w:val="00A96933"/>
    <w:rsid w:val="00AA6572"/>
    <w:rsid w:val="00AB0EDD"/>
    <w:rsid w:val="00AB238D"/>
    <w:rsid w:val="00AC5DC1"/>
    <w:rsid w:val="00AD1275"/>
    <w:rsid w:val="00AD56BA"/>
    <w:rsid w:val="00AF00B0"/>
    <w:rsid w:val="00AF0B6E"/>
    <w:rsid w:val="00AF0C1B"/>
    <w:rsid w:val="00AF1152"/>
    <w:rsid w:val="00AF20DE"/>
    <w:rsid w:val="00AF2C7E"/>
    <w:rsid w:val="00AF337C"/>
    <w:rsid w:val="00AF365B"/>
    <w:rsid w:val="00B0152E"/>
    <w:rsid w:val="00B06F77"/>
    <w:rsid w:val="00B17EA4"/>
    <w:rsid w:val="00B2401D"/>
    <w:rsid w:val="00B27F1E"/>
    <w:rsid w:val="00B320E0"/>
    <w:rsid w:val="00B35A2B"/>
    <w:rsid w:val="00B44C87"/>
    <w:rsid w:val="00B525E7"/>
    <w:rsid w:val="00B5298A"/>
    <w:rsid w:val="00B52BC2"/>
    <w:rsid w:val="00B54B9E"/>
    <w:rsid w:val="00B5655B"/>
    <w:rsid w:val="00B602C0"/>
    <w:rsid w:val="00B65AA6"/>
    <w:rsid w:val="00B736AC"/>
    <w:rsid w:val="00B753D4"/>
    <w:rsid w:val="00B804DA"/>
    <w:rsid w:val="00B91C42"/>
    <w:rsid w:val="00BB0ED6"/>
    <w:rsid w:val="00BB1C0A"/>
    <w:rsid w:val="00BB4B74"/>
    <w:rsid w:val="00BB6FED"/>
    <w:rsid w:val="00BC41B2"/>
    <w:rsid w:val="00BC45B6"/>
    <w:rsid w:val="00BC4F9E"/>
    <w:rsid w:val="00BE0799"/>
    <w:rsid w:val="00BF1119"/>
    <w:rsid w:val="00BF5510"/>
    <w:rsid w:val="00C070A2"/>
    <w:rsid w:val="00C10D37"/>
    <w:rsid w:val="00C17E66"/>
    <w:rsid w:val="00C3032A"/>
    <w:rsid w:val="00C31C6D"/>
    <w:rsid w:val="00C31FF2"/>
    <w:rsid w:val="00C33C36"/>
    <w:rsid w:val="00C44645"/>
    <w:rsid w:val="00C50A3F"/>
    <w:rsid w:val="00C51847"/>
    <w:rsid w:val="00C6137D"/>
    <w:rsid w:val="00C61540"/>
    <w:rsid w:val="00C61B0C"/>
    <w:rsid w:val="00C67D4C"/>
    <w:rsid w:val="00C706FA"/>
    <w:rsid w:val="00C81D18"/>
    <w:rsid w:val="00C82258"/>
    <w:rsid w:val="00C82744"/>
    <w:rsid w:val="00C836D9"/>
    <w:rsid w:val="00C843F0"/>
    <w:rsid w:val="00C85F66"/>
    <w:rsid w:val="00CA0CFD"/>
    <w:rsid w:val="00CA37C8"/>
    <w:rsid w:val="00CA5047"/>
    <w:rsid w:val="00CC4EE7"/>
    <w:rsid w:val="00CD5C22"/>
    <w:rsid w:val="00CE363E"/>
    <w:rsid w:val="00CF1430"/>
    <w:rsid w:val="00CF1AE4"/>
    <w:rsid w:val="00D0046C"/>
    <w:rsid w:val="00D00979"/>
    <w:rsid w:val="00D01E3B"/>
    <w:rsid w:val="00D06EEA"/>
    <w:rsid w:val="00D11946"/>
    <w:rsid w:val="00D14F71"/>
    <w:rsid w:val="00D15612"/>
    <w:rsid w:val="00D17A89"/>
    <w:rsid w:val="00D21619"/>
    <w:rsid w:val="00D21B1B"/>
    <w:rsid w:val="00D220B5"/>
    <w:rsid w:val="00D26063"/>
    <w:rsid w:val="00D32832"/>
    <w:rsid w:val="00D33C76"/>
    <w:rsid w:val="00D34827"/>
    <w:rsid w:val="00D41F8D"/>
    <w:rsid w:val="00D451AB"/>
    <w:rsid w:val="00D50991"/>
    <w:rsid w:val="00D578AF"/>
    <w:rsid w:val="00D61DA0"/>
    <w:rsid w:val="00D65D7A"/>
    <w:rsid w:val="00D6793A"/>
    <w:rsid w:val="00D7347C"/>
    <w:rsid w:val="00D74D7F"/>
    <w:rsid w:val="00D80F6F"/>
    <w:rsid w:val="00D9342C"/>
    <w:rsid w:val="00D944CB"/>
    <w:rsid w:val="00DA59FA"/>
    <w:rsid w:val="00DB295F"/>
    <w:rsid w:val="00DB3826"/>
    <w:rsid w:val="00DB47DC"/>
    <w:rsid w:val="00DB74F2"/>
    <w:rsid w:val="00DC205C"/>
    <w:rsid w:val="00DC5687"/>
    <w:rsid w:val="00DC7A5D"/>
    <w:rsid w:val="00DD1CF8"/>
    <w:rsid w:val="00DD6102"/>
    <w:rsid w:val="00DD71F1"/>
    <w:rsid w:val="00DE00C5"/>
    <w:rsid w:val="00DE3FB5"/>
    <w:rsid w:val="00E00D0A"/>
    <w:rsid w:val="00E07B93"/>
    <w:rsid w:val="00E07E15"/>
    <w:rsid w:val="00E161F8"/>
    <w:rsid w:val="00E32815"/>
    <w:rsid w:val="00E40596"/>
    <w:rsid w:val="00E40BA9"/>
    <w:rsid w:val="00E41B77"/>
    <w:rsid w:val="00E45EC3"/>
    <w:rsid w:val="00E47C4F"/>
    <w:rsid w:val="00E541A3"/>
    <w:rsid w:val="00E637BB"/>
    <w:rsid w:val="00E638C8"/>
    <w:rsid w:val="00E658DD"/>
    <w:rsid w:val="00E65D7E"/>
    <w:rsid w:val="00E82204"/>
    <w:rsid w:val="00E8377B"/>
    <w:rsid w:val="00E83A77"/>
    <w:rsid w:val="00E8796C"/>
    <w:rsid w:val="00E90251"/>
    <w:rsid w:val="00E933C0"/>
    <w:rsid w:val="00E962B7"/>
    <w:rsid w:val="00E96877"/>
    <w:rsid w:val="00E978BF"/>
    <w:rsid w:val="00EA1188"/>
    <w:rsid w:val="00EB0752"/>
    <w:rsid w:val="00EB77CC"/>
    <w:rsid w:val="00EC0997"/>
    <w:rsid w:val="00ED30F4"/>
    <w:rsid w:val="00ED43BB"/>
    <w:rsid w:val="00ED68E9"/>
    <w:rsid w:val="00EE1FC2"/>
    <w:rsid w:val="00EF670C"/>
    <w:rsid w:val="00F1455B"/>
    <w:rsid w:val="00F16D36"/>
    <w:rsid w:val="00F210FD"/>
    <w:rsid w:val="00F33087"/>
    <w:rsid w:val="00F350B2"/>
    <w:rsid w:val="00F372A2"/>
    <w:rsid w:val="00F4243D"/>
    <w:rsid w:val="00F45BA7"/>
    <w:rsid w:val="00F45BE9"/>
    <w:rsid w:val="00F46308"/>
    <w:rsid w:val="00F46F4A"/>
    <w:rsid w:val="00F60788"/>
    <w:rsid w:val="00F7063D"/>
    <w:rsid w:val="00F70C88"/>
    <w:rsid w:val="00F7168A"/>
    <w:rsid w:val="00F734AD"/>
    <w:rsid w:val="00F76618"/>
    <w:rsid w:val="00F76E42"/>
    <w:rsid w:val="00F81D1B"/>
    <w:rsid w:val="00F84292"/>
    <w:rsid w:val="00F85E04"/>
    <w:rsid w:val="00F864DA"/>
    <w:rsid w:val="00F92643"/>
    <w:rsid w:val="00F936B3"/>
    <w:rsid w:val="00F97F7D"/>
    <w:rsid w:val="00FA0333"/>
    <w:rsid w:val="00FA19D5"/>
    <w:rsid w:val="00FA3EE8"/>
    <w:rsid w:val="00FB3E2C"/>
    <w:rsid w:val="00FC19B9"/>
    <w:rsid w:val="00FD00A5"/>
    <w:rsid w:val="00FD4B0F"/>
    <w:rsid w:val="00FF0C09"/>
    <w:rsid w:val="01CE5D1C"/>
    <w:rsid w:val="039E595D"/>
    <w:rsid w:val="04216E30"/>
    <w:rsid w:val="070F07F6"/>
    <w:rsid w:val="08083403"/>
    <w:rsid w:val="09BE5E2A"/>
    <w:rsid w:val="0A091F73"/>
    <w:rsid w:val="0A8504E9"/>
    <w:rsid w:val="0D92619C"/>
    <w:rsid w:val="0F412CA9"/>
    <w:rsid w:val="0FD566D2"/>
    <w:rsid w:val="13B2170D"/>
    <w:rsid w:val="13B97480"/>
    <w:rsid w:val="14034EB5"/>
    <w:rsid w:val="14870494"/>
    <w:rsid w:val="15085E8C"/>
    <w:rsid w:val="15174F60"/>
    <w:rsid w:val="1556095A"/>
    <w:rsid w:val="167D7F24"/>
    <w:rsid w:val="16CD23E8"/>
    <w:rsid w:val="17306AB5"/>
    <w:rsid w:val="17373F64"/>
    <w:rsid w:val="19A054D6"/>
    <w:rsid w:val="1A2127F5"/>
    <w:rsid w:val="1B0717C8"/>
    <w:rsid w:val="1BE33681"/>
    <w:rsid w:val="1D684CC5"/>
    <w:rsid w:val="21862EC6"/>
    <w:rsid w:val="237A2B2A"/>
    <w:rsid w:val="2C4F36F5"/>
    <w:rsid w:val="2D5F22BD"/>
    <w:rsid w:val="2FF37D11"/>
    <w:rsid w:val="3013049D"/>
    <w:rsid w:val="332C3D99"/>
    <w:rsid w:val="36120FC5"/>
    <w:rsid w:val="365875C5"/>
    <w:rsid w:val="39356049"/>
    <w:rsid w:val="3B4E60E4"/>
    <w:rsid w:val="3BFE2074"/>
    <w:rsid w:val="3F8C7277"/>
    <w:rsid w:val="3FA0222F"/>
    <w:rsid w:val="42D769B6"/>
    <w:rsid w:val="44F600D3"/>
    <w:rsid w:val="45617704"/>
    <w:rsid w:val="48B048DB"/>
    <w:rsid w:val="4B8C0594"/>
    <w:rsid w:val="4CFE380A"/>
    <w:rsid w:val="4D862B8C"/>
    <w:rsid w:val="4DFF35F5"/>
    <w:rsid w:val="4EF47599"/>
    <w:rsid w:val="4FE3578A"/>
    <w:rsid w:val="54E94B5B"/>
    <w:rsid w:val="55661639"/>
    <w:rsid w:val="55761622"/>
    <w:rsid w:val="5BD857FA"/>
    <w:rsid w:val="5C080481"/>
    <w:rsid w:val="5E202145"/>
    <w:rsid w:val="6031647B"/>
    <w:rsid w:val="60692298"/>
    <w:rsid w:val="62F74A7A"/>
    <w:rsid w:val="66242AFB"/>
    <w:rsid w:val="668E2223"/>
    <w:rsid w:val="683026D9"/>
    <w:rsid w:val="693F388B"/>
    <w:rsid w:val="6DBA21A1"/>
    <w:rsid w:val="70E431AC"/>
    <w:rsid w:val="73731F46"/>
    <w:rsid w:val="7AF5051C"/>
    <w:rsid w:val="7BBA680A"/>
    <w:rsid w:val="7BE826AE"/>
    <w:rsid w:val="7CCF532E"/>
    <w:rsid w:val="7E0033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6"/>
    <w:qFormat/>
    <w:uiPriority w:val="0"/>
    <w:pPr>
      <w:tabs>
        <w:tab w:val="center" w:pos="4153"/>
        <w:tab w:val="right" w:pos="8306"/>
      </w:tabs>
      <w:snapToGrid w:val="0"/>
      <w:jc w:val="left"/>
    </w:pPr>
    <w:rPr>
      <w:sz w:val="18"/>
      <w:szCs w:val="18"/>
    </w:rPr>
  </w:style>
  <w:style w:type="paragraph" w:styleId="3">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100" w:beforeAutospacing="1" w:after="100" w:afterAutospacing="1"/>
      <w:jc w:val="left"/>
    </w:pPr>
    <w:rPr>
      <w:kern w:val="0"/>
      <w:sz w:val="24"/>
    </w:rPr>
  </w:style>
  <w:style w:type="table" w:styleId="6">
    <w:name w:val="Table Grid"/>
    <w:basedOn w:val="5"/>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Hyperlink"/>
    <w:basedOn w:val="7"/>
    <w:unhideWhenUsed/>
    <w:qFormat/>
    <w:uiPriority w:val="99"/>
    <w:rPr>
      <w:color w:val="0000FF"/>
      <w:u w:val="single"/>
    </w:rPr>
  </w:style>
  <w:style w:type="paragraph" w:customStyle="1" w:styleId="9">
    <w:name w:val="段"/>
    <w:link w:val="2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0">
    <w:name w:val="正文表标题"/>
    <w:next w:val="9"/>
    <w:qFormat/>
    <w:uiPriority w:val="0"/>
    <w:pPr>
      <w:spacing w:before="156" w:beforeLines="50" w:after="156" w:afterLines="50"/>
      <w:jc w:val="center"/>
    </w:pPr>
    <w:rPr>
      <w:rFonts w:ascii="黑体" w:hAnsi="Times New Roman" w:eastAsia="黑体" w:cs="Times New Roman"/>
      <w:sz w:val="21"/>
      <w:lang w:val="en-US" w:eastAsia="zh-CN" w:bidi="ar-SA"/>
    </w:rPr>
  </w:style>
  <w:style w:type="paragraph" w:customStyle="1" w:styleId="11">
    <w:name w:val="正文图标题"/>
    <w:next w:val="9"/>
    <w:qFormat/>
    <w:uiPriority w:val="0"/>
    <w:pPr>
      <w:numPr>
        <w:ilvl w:val="0"/>
        <w:numId w:val="1"/>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3">
    <w:name w:val="一级条标题"/>
    <w:next w:val="9"/>
    <w:qFormat/>
    <w:uiPriority w:val="0"/>
    <w:pPr>
      <w:numPr>
        <w:ilvl w:val="1"/>
        <w:numId w:val="3"/>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4">
    <w:name w:val="章标题"/>
    <w:next w:val="9"/>
    <w:qFormat/>
    <w:uiPriority w:val="0"/>
    <w:pPr>
      <w:numPr>
        <w:ilvl w:val="0"/>
        <w:numId w:val="3"/>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5">
    <w:name w:val="二级条标题"/>
    <w:basedOn w:val="13"/>
    <w:next w:val="9"/>
    <w:qFormat/>
    <w:uiPriority w:val="0"/>
    <w:pPr>
      <w:numPr>
        <w:ilvl w:val="2"/>
      </w:numPr>
      <w:spacing w:before="50" w:after="50"/>
      <w:outlineLvl w:val="3"/>
    </w:pPr>
  </w:style>
  <w:style w:type="paragraph" w:customStyle="1" w:styleId="16">
    <w:name w:val="三级条标题"/>
    <w:basedOn w:val="15"/>
    <w:next w:val="9"/>
    <w:qFormat/>
    <w:uiPriority w:val="0"/>
    <w:pPr>
      <w:numPr>
        <w:ilvl w:val="3"/>
      </w:numPr>
      <w:outlineLvl w:val="4"/>
    </w:pPr>
  </w:style>
  <w:style w:type="paragraph" w:customStyle="1" w:styleId="17">
    <w:name w:val="四级条标题"/>
    <w:basedOn w:val="16"/>
    <w:next w:val="9"/>
    <w:qFormat/>
    <w:uiPriority w:val="0"/>
    <w:pPr>
      <w:numPr>
        <w:ilvl w:val="4"/>
      </w:numPr>
      <w:outlineLvl w:val="5"/>
    </w:pPr>
  </w:style>
  <w:style w:type="paragraph" w:customStyle="1" w:styleId="18">
    <w:name w:val="五级条标题"/>
    <w:basedOn w:val="17"/>
    <w:next w:val="9"/>
    <w:qFormat/>
    <w:uiPriority w:val="0"/>
    <w:pPr>
      <w:numPr>
        <w:ilvl w:val="5"/>
      </w:numPr>
      <w:outlineLvl w:val="6"/>
    </w:pPr>
  </w:style>
  <w:style w:type="paragraph" w:customStyle="1" w:styleId="19">
    <w:name w:val="注："/>
    <w:next w:val="9"/>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0">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1">
    <w:name w:val="附录图标题"/>
    <w:basedOn w:val="1"/>
    <w:next w:val="9"/>
    <w:qFormat/>
    <w:uiPriority w:val="0"/>
    <w:pPr>
      <w:numPr>
        <w:ilvl w:val="1"/>
        <w:numId w:val="5"/>
      </w:numPr>
      <w:tabs>
        <w:tab w:val="left" w:pos="363"/>
      </w:tabs>
      <w:spacing w:before="50" w:beforeLines="50" w:after="50" w:afterLines="50"/>
      <w:ind w:left="0" w:firstLine="0"/>
      <w:jc w:val="center"/>
    </w:pPr>
    <w:rPr>
      <w:rFonts w:ascii="黑体" w:eastAsia="黑体"/>
      <w:szCs w:val="21"/>
    </w:rPr>
  </w:style>
  <w:style w:type="paragraph" w:customStyle="1" w:styleId="22">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3">
    <w:name w:val="图表脚注说明"/>
    <w:basedOn w:val="1"/>
    <w:qFormat/>
    <w:uiPriority w:val="0"/>
    <w:pPr>
      <w:numPr>
        <w:ilvl w:val="0"/>
        <w:numId w:val="7"/>
      </w:numPr>
    </w:pPr>
    <w:rPr>
      <w:rFonts w:ascii="宋体"/>
      <w:sz w:val="18"/>
      <w:szCs w:val="18"/>
    </w:rPr>
  </w:style>
  <w:style w:type="character" w:customStyle="1" w:styleId="24">
    <w:name w:val="段 Char"/>
    <w:basedOn w:val="7"/>
    <w:link w:val="9"/>
    <w:qFormat/>
    <w:uiPriority w:val="0"/>
    <w:rPr>
      <w:rFonts w:ascii="宋体"/>
      <w:sz w:val="21"/>
      <w:lang w:val="en-US" w:eastAsia="zh-CN" w:bidi="ar-SA"/>
    </w:rPr>
  </w:style>
  <w:style w:type="character" w:customStyle="1" w:styleId="25">
    <w:name w:val="页眉 字符"/>
    <w:basedOn w:val="7"/>
    <w:link w:val="3"/>
    <w:qFormat/>
    <w:uiPriority w:val="0"/>
    <w:rPr>
      <w:kern w:val="2"/>
      <w:sz w:val="18"/>
      <w:szCs w:val="18"/>
    </w:rPr>
  </w:style>
  <w:style w:type="character" w:customStyle="1" w:styleId="26">
    <w:name w:val="页脚 字符"/>
    <w:basedOn w:val="7"/>
    <w:link w:val="2"/>
    <w:qFormat/>
    <w:uiPriority w:val="0"/>
    <w:rPr>
      <w:kern w:val="2"/>
      <w:sz w:val="18"/>
      <w:szCs w:val="18"/>
    </w:rPr>
  </w:style>
  <w:style w:type="paragraph" w:customStyle="1" w:styleId="27">
    <w:name w:val="附录表标题"/>
    <w:basedOn w:val="1"/>
    <w:next w:val="9"/>
    <w:qFormat/>
    <w:uiPriority w:val="0"/>
    <w:pPr>
      <w:numPr>
        <w:ilvl w:val="1"/>
        <w:numId w:val="8"/>
      </w:numPr>
      <w:tabs>
        <w:tab w:val="left" w:pos="180"/>
      </w:tabs>
      <w:spacing w:before="50" w:beforeLines="50" w:after="50" w:afterLines="50"/>
      <w:ind w:left="0" w:firstLine="0"/>
      <w:jc w:val="center"/>
    </w:pPr>
    <w:rPr>
      <w:rFonts w:ascii="黑体" w:eastAsia="黑体"/>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13</Pages>
  <Words>1125</Words>
  <Characters>6418</Characters>
  <Lines>53</Lines>
  <Paragraphs>15</Paragraphs>
  <TotalTime>0</TotalTime>
  <ScaleCrop>false</ScaleCrop>
  <LinksUpToDate>false</LinksUpToDate>
  <CharactersWithSpaces>7528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2021-09-07T09:59:00Z</dcterms:created>
  <dc:creator>USER</dc:creator>
  <cp:lastModifiedBy>Administrator</cp:lastModifiedBy>
  <cp:lastPrinted>2019-07-10T11:21:00Z</cp:lastPrinted>
  <dcterms:modified xsi:type="dcterms:W3CDTF">2021-09-22T09:29:16Z</dcterms:modified>
  <dc:title>广西地方标准《脱氢枞酸》（征求意见稿）</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484DF7F1BEB842158BCD0584349217B5</vt:lpwstr>
  </property>
</Properties>
</file>